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0" w:val="left"/>
        </w:tabs>
        <w:spacing w:line="240" w:lineRule="auto"/>
        <w:ind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Обращение граждан</w:t>
      </w:r>
    </w:p>
    <w:p w14:paraId="02000000">
      <w:pPr>
        <w:tabs>
          <w:tab w:leader="none" w:pos="0" w:val="left"/>
        </w:tabs>
        <w:spacing w:line="240" w:lineRule="auto"/>
        <w:ind/>
        <w:jc w:val="center"/>
        <w:rPr>
          <w:rFonts w:ascii="Times New Roman" w:hAnsi="Times New Roman"/>
          <w:sz w:val="28"/>
          <w:u w:val="single"/>
        </w:rPr>
      </w:pP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771"/>
        <w:gridCol w:w="1464"/>
        <w:gridCol w:w="1368"/>
      </w:tblGrid>
      <w:tr>
        <w:trPr>
          <w:trHeight w:hRule="atLeast" w:val="286"/>
        </w:trPr>
        <w:tc>
          <w:tcPr>
            <w:tcW w:type="dxa" w:w="2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00000">
            <w:pPr>
              <w:tabs>
                <w:tab w:leader="none" w:pos="0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tabs>
                <w:tab w:leader="none" w:pos="0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г.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tabs>
                <w:tab w:leader="none" w:pos="0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г.</w:t>
            </w:r>
          </w:p>
        </w:tc>
      </w:tr>
      <w:tr>
        <w:trPr>
          <w:trHeight w:hRule="atLeast" w:val="572"/>
        </w:trPr>
        <w:tc>
          <w:tcPr>
            <w:tcW w:type="dxa" w:w="2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tabs>
                <w:tab w:leader="none" w:pos="0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Устные обращения</w:t>
            </w:r>
          </w:p>
        </w:tc>
        <w:tc>
          <w:tcPr>
            <w:tcW w:type="dxa" w:w="1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tabs>
                <w:tab w:leader="none" w:pos="0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tabs>
                <w:tab w:leader="none" w:pos="0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</w:tr>
      <w:tr>
        <w:trPr>
          <w:trHeight w:hRule="atLeast" w:val="599"/>
        </w:trPr>
        <w:tc>
          <w:tcPr>
            <w:tcW w:type="dxa" w:w="2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tabs>
                <w:tab w:leader="none" w:pos="0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Письменные обращения</w:t>
            </w:r>
          </w:p>
        </w:tc>
        <w:tc>
          <w:tcPr>
            <w:tcW w:type="dxa" w:w="1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tabs>
                <w:tab w:leader="none" w:pos="0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tabs>
                <w:tab w:leader="none" w:pos="0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</w:tr>
    </w:tbl>
    <w:p w14:paraId="0C000000">
      <w:pPr>
        <w:rPr>
          <w:rFonts w:ascii="Times New Roman" w:hAnsi="Times New Roman"/>
          <w:color w:val="FF0000"/>
          <w:sz w:val="28"/>
        </w:rPr>
      </w:pPr>
    </w:p>
    <w:p w14:paraId="0D000000">
      <w:pPr>
        <w:spacing w:after="0" w:line="240" w:lineRule="auto"/>
        <w:ind/>
        <w:contextualSpacing w:val="1"/>
        <w:rPr>
          <w:color w:val="000000"/>
          <w:sz w:val="28"/>
        </w:rPr>
      </w:pPr>
      <w:r>
        <w:rPr>
          <w:color w:val="000000"/>
          <w:sz w:val="28"/>
        </w:rPr>
        <w:t xml:space="preserve">Тема обращений граждан: </w:t>
      </w:r>
    </w:p>
    <w:p w14:paraId="0E000000">
      <w:pPr>
        <w:numPr>
          <w:ilvl w:val="0"/>
          <w:numId w:val="1"/>
        </w:numPr>
        <w:spacing w:after="0" w:line="240" w:lineRule="auto"/>
        <w:ind/>
        <w:contextualSpacing w:val="1"/>
        <w:rPr>
          <w:color w:val="000000"/>
          <w:sz w:val="28"/>
        </w:rPr>
      </w:pPr>
      <w:r>
        <w:rPr>
          <w:color w:val="000000"/>
          <w:sz w:val="28"/>
        </w:rPr>
        <w:t>снос аварийных деревьев – 20%</w:t>
      </w:r>
    </w:p>
    <w:p w14:paraId="0F000000">
      <w:pPr>
        <w:numPr>
          <w:ilvl w:val="0"/>
          <w:numId w:val="1"/>
        </w:numPr>
        <w:spacing w:after="0" w:line="240" w:lineRule="auto"/>
        <w:ind/>
        <w:contextualSpacing w:val="1"/>
        <w:rPr>
          <w:color w:val="000000"/>
          <w:sz w:val="28"/>
        </w:rPr>
      </w:pPr>
      <w:r>
        <w:rPr>
          <w:color w:val="000000"/>
          <w:sz w:val="28"/>
        </w:rPr>
        <w:t>присвоение адреса объекту недвижимости – 16%</w:t>
      </w:r>
    </w:p>
    <w:p w14:paraId="10000000">
      <w:pPr>
        <w:numPr>
          <w:ilvl w:val="0"/>
          <w:numId w:val="1"/>
        </w:numPr>
        <w:spacing w:after="0" w:line="240" w:lineRule="auto"/>
        <w:ind/>
        <w:contextualSpacing w:val="1"/>
        <w:rPr>
          <w:color w:val="000000"/>
          <w:sz w:val="28"/>
        </w:rPr>
      </w:pPr>
      <w:r>
        <w:rPr>
          <w:color w:val="000000"/>
          <w:sz w:val="28"/>
        </w:rPr>
        <w:t>земляные работы – 8%</w:t>
      </w:r>
    </w:p>
    <w:p w14:paraId="11000000">
      <w:pPr>
        <w:numPr>
          <w:ilvl w:val="0"/>
          <w:numId w:val="1"/>
        </w:numPr>
        <w:spacing w:after="0" w:line="240" w:lineRule="auto"/>
        <w:ind/>
        <w:contextualSpacing w:val="1"/>
        <w:rPr>
          <w:color w:val="000000"/>
          <w:sz w:val="28"/>
        </w:rPr>
      </w:pPr>
      <w:r>
        <w:rPr>
          <w:color w:val="000000"/>
          <w:sz w:val="28"/>
        </w:rPr>
        <w:t>бродячие собаки – 4%</w:t>
      </w:r>
    </w:p>
    <w:p w14:paraId="12000000">
      <w:pPr>
        <w:numPr>
          <w:ilvl w:val="0"/>
          <w:numId w:val="1"/>
        </w:numPr>
        <w:spacing w:after="0" w:line="240" w:lineRule="auto"/>
        <w:ind/>
        <w:contextualSpacing w:val="1"/>
        <w:rPr>
          <w:color w:val="000000"/>
          <w:sz w:val="28"/>
        </w:rPr>
      </w:pPr>
      <w:r>
        <w:rPr>
          <w:color w:val="000000"/>
          <w:sz w:val="28"/>
        </w:rPr>
        <w:t>благоустройство (вывоз ТКО, уличное освещение, дорожная деятельность, водоснабжение и т.д.)– 52%</w:t>
      </w:r>
    </w:p>
    <w:p w14:paraId="13000000">
      <w:pPr>
        <w:numPr>
          <w:ilvl w:val="0"/>
          <w:numId w:val="1"/>
        </w:numPr>
        <w:spacing w:after="0" w:line="240" w:lineRule="auto"/>
        <w:ind/>
        <w:contextualSpacing w:val="1"/>
        <w:rPr>
          <w:color w:val="000000"/>
          <w:sz w:val="28"/>
        </w:rPr>
      </w:pPr>
      <w:r>
        <w:rPr>
          <w:color w:val="000000"/>
          <w:sz w:val="28"/>
        </w:rPr>
        <w:t>Предоставление земельных участков</w:t>
      </w:r>
    </w:p>
    <w:p w14:paraId="14000000">
      <w:pPr>
        <w:spacing w:after="0" w:line="240" w:lineRule="auto"/>
        <w:ind w:firstLine="0" w:left="709"/>
        <w:contextualSpacing w:val="1"/>
        <w:rPr>
          <w:color w:val="000000"/>
          <w:sz w:val="28"/>
        </w:rPr>
      </w:pPr>
      <w:r>
        <w:rPr>
          <w:color w:val="000000"/>
          <w:sz w:val="28"/>
        </w:rPr>
        <w:t>В 2021 году предоставлено 5 з/уч., в том числе-1 –многодетной семье.</w:t>
      </w:r>
    </w:p>
    <w:p w14:paraId="15000000">
      <w:pPr>
        <w:spacing w:after="0" w:line="240" w:lineRule="auto"/>
        <w:ind w:firstLine="0" w:left="1134"/>
        <w:contextualSpacing w:val="1"/>
        <w:rPr>
          <w:color w:val="00007D"/>
          <w:sz w:val="28"/>
        </w:rPr>
      </w:pPr>
    </w:p>
    <w:p w14:paraId="16000000">
      <w:pPr>
        <w:spacing w:after="0" w:line="240" w:lineRule="auto"/>
        <w:ind w:firstLine="0" w:left="1134"/>
        <w:contextualSpacing w:val="1"/>
        <w:jc w:val="center"/>
        <w:rPr>
          <w:color w:val="00007D"/>
          <w:sz w:val="28"/>
        </w:rPr>
      </w:pPr>
      <w:r>
        <w:rPr>
          <w:b w:val="1"/>
          <w:color w:val="000000"/>
          <w:sz w:val="28"/>
          <w:u w:val="single"/>
        </w:rPr>
        <w:t xml:space="preserve"> </w:t>
      </w:r>
      <w:r>
        <w:rPr>
          <w:color w:val="000000"/>
          <w:sz w:val="28"/>
          <w:u w:val="single"/>
        </w:rPr>
        <w:t>Занятость населения</w:t>
      </w:r>
      <w:r>
        <w:rPr>
          <w:color w:val="000000"/>
          <w:sz w:val="28"/>
        </w:rPr>
        <w:t>:</w:t>
      </w:r>
    </w:p>
    <w:p w14:paraId="17000000">
      <w:pPr>
        <w:spacing w:after="0" w:line="240" w:lineRule="auto"/>
        <w:ind w:firstLine="0" w:left="1134"/>
        <w:contextualSpacing w:val="1"/>
        <w:jc w:val="center"/>
        <w:rPr>
          <w:color w:val="00007D"/>
          <w:sz w:val="28"/>
        </w:rPr>
      </w:pPr>
    </w:p>
    <w:p w14:paraId="18000000">
      <w:pPr>
        <w:spacing w:after="0" w:line="240" w:lineRule="auto"/>
        <w:ind w:firstLine="709" w:left="0"/>
        <w:contextualSpacing w:val="1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2021</w:t>
      </w:r>
      <w:r>
        <w:rPr>
          <w:sz w:val="28"/>
        </w:rPr>
        <w:t xml:space="preserve"> году в  ГКУ РК «ЦЗН Прионежского района»  </w:t>
      </w:r>
      <w:r>
        <w:rPr>
          <w:sz w:val="28"/>
        </w:rPr>
        <w:t xml:space="preserve">состояло </w:t>
      </w:r>
      <w:r>
        <w:rPr>
          <w:sz w:val="28"/>
        </w:rPr>
        <w:t xml:space="preserve"> на учете с целью поиска работы </w:t>
      </w:r>
      <w:r>
        <w:rPr>
          <w:sz w:val="28"/>
        </w:rPr>
        <w:t>7</w:t>
      </w:r>
      <w:r>
        <w:rPr>
          <w:sz w:val="28"/>
        </w:rPr>
        <w:t>8 (</w:t>
      </w:r>
      <w:r>
        <w:rPr>
          <w:sz w:val="28"/>
        </w:rPr>
        <w:t>103</w:t>
      </w:r>
      <w:r>
        <w:rPr>
          <w:sz w:val="28"/>
        </w:rPr>
        <w:t xml:space="preserve"> – в 2020 г.) </w:t>
      </w:r>
      <w:r>
        <w:rPr>
          <w:sz w:val="28"/>
        </w:rPr>
        <w:t xml:space="preserve"> </w:t>
      </w:r>
      <w:r>
        <w:rPr>
          <w:sz w:val="28"/>
        </w:rPr>
        <w:t>человек</w:t>
      </w:r>
      <w:r>
        <w:rPr>
          <w:sz w:val="28"/>
        </w:rPr>
        <w:t xml:space="preserve">, </w:t>
      </w:r>
      <w:r>
        <w:rPr>
          <w:sz w:val="28"/>
        </w:rPr>
        <w:t>из ни</w:t>
      </w:r>
      <w:r>
        <w:rPr>
          <w:sz w:val="28"/>
        </w:rPr>
        <w:t xml:space="preserve">х трудоустроились – 19 человек, 3 - зарегистрировались как самозанятые, </w:t>
      </w:r>
      <w:r>
        <w:rPr>
          <w:sz w:val="28"/>
        </w:rPr>
        <w:t xml:space="preserve">3 – предпринимательская деятельность. </w:t>
      </w:r>
    </w:p>
    <w:p w14:paraId="19000000"/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"/>
      <w:pPr>
        <w:ind w:hanging="360" w:left="720"/>
      </w:pPr>
      <w:rPr>
        <w:rFonts w:ascii="Wingdings" w:hAnsi="Wingdings"/>
      </w:rPr>
    </w:lvl>
    <w:lvl w:ilvl="1">
      <w:numFmt w:val="bullet"/>
      <w:lvlText w:val=""/>
      <w:pPr>
        <w:ind w:hanging="360" w:left="1440"/>
      </w:pPr>
      <w:rPr>
        <w:rFonts w:ascii="Wingdings" w:hAnsi="Wingdings"/>
      </w:rPr>
    </w:lvl>
    <w:lvl w:ilvl="2">
      <w:numFmt w:val="bullet"/>
      <w:lvlText w:val="o"/>
      <w:pPr>
        <w:ind w:hanging="360" w:left="2160"/>
      </w:pPr>
      <w:rPr>
        <w:rFonts w:ascii="Courier New" w:hAnsi="Courier New"/>
      </w:rPr>
    </w:lvl>
    <w:lvl w:ilvl="3">
      <w:numFmt w:val="bullet"/>
      <w:lvlText w:val=""/>
      <w:pPr>
        <w:ind w:hanging="360" w:left="2880"/>
      </w:pPr>
      <w:rPr>
        <w:rFonts w:ascii="Wingdings" w:hAnsi="Wingdings"/>
      </w:rPr>
    </w:lvl>
    <w:lvl w:ilvl="4">
      <w:numFmt w:val="bullet"/>
      <w:lvlText w:val=""/>
      <w:pPr>
        <w:ind w:hanging="360" w:left="3600"/>
      </w:pPr>
      <w:rPr>
        <w:rFonts w:ascii="Wingdings" w:hAnsi="Wingdings"/>
      </w:rPr>
    </w:lvl>
    <w:lvl w:ilvl="5">
      <w:numFmt w:val="bullet"/>
      <w:lvlText w:val="o"/>
      <w:pPr>
        <w:ind w:hanging="360" w:left="4320"/>
      </w:pPr>
      <w:rPr>
        <w:rFonts w:ascii="Courier New" w:hAnsi="Courier New"/>
      </w:rPr>
    </w:lvl>
    <w:lvl w:ilvl="6">
      <w:numFmt w:val="bullet"/>
      <w:lvlText w:val=""/>
      <w:pPr>
        <w:ind w:hanging="360" w:left="5040"/>
      </w:pPr>
      <w:rPr>
        <w:rFonts w:ascii="Wingdings" w:hAnsi="Wingdings"/>
      </w:rPr>
    </w:lvl>
    <w:lvl w:ilvl="7">
      <w:numFmt w:val="bullet"/>
      <w:lvlText w:val=""/>
      <w:pPr>
        <w:ind w:hanging="360" w:left="5760"/>
      </w:pPr>
      <w:rPr>
        <w:rFonts w:ascii="Wingdings" w:hAnsi="Wingdings"/>
      </w:rPr>
    </w:lvl>
    <w:lvl w:ilvl="8">
      <w:numFmt w:val="bullet"/>
      <w:lvlText w:val="o"/>
      <w:pPr>
        <w:ind w:hanging="360" w:left="6480"/>
      </w:pPr>
      <w:rPr>
        <w:rFonts w:ascii="Courier New" w:hAnsi="Courier New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2023-09-04T11:39:40Z</dcterms:modified>
</cp:coreProperties>
</file>