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0506CA" w:rsidRDefault="000506CA" w:rsidP="000506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45B" w:rsidRPr="00F4397B" w:rsidRDefault="00DE245B" w:rsidP="00DE245B">
      <w:pPr>
        <w:pStyle w:val="11"/>
        <w:shd w:val="clear" w:color="auto" w:fill="FFFFFF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F4397B">
        <w:rPr>
          <w:rFonts w:cs="Times New Roman"/>
          <w:b/>
          <w:color w:val="000000" w:themeColor="text1"/>
          <w:sz w:val="28"/>
          <w:szCs w:val="28"/>
        </w:rPr>
        <w:t>До 1 декабря можно сменить страховщика пенсионных накоплений</w:t>
      </w:r>
    </w:p>
    <w:p w:rsidR="00DE245B" w:rsidRPr="00311EBC" w:rsidRDefault="00DE245B" w:rsidP="00073C95">
      <w:pPr>
        <w:shd w:val="clear" w:color="auto" w:fill="FFFFFF"/>
        <w:spacing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ru-RU"/>
        </w:rPr>
        <w:t>Если у гражданина формируются пенсионные накопления, он может выбрать страховщика, который будет ими управлять</w:t>
      </w:r>
      <w:r w:rsidR="00073C95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ru-RU"/>
        </w:rPr>
        <w:t xml:space="preserve">. Например, </w:t>
      </w:r>
      <w:r w:rsidRPr="00311EBC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ru-RU"/>
        </w:rPr>
        <w:t>Социальный  фонд России (СФР) или негосударственный пенсионный фонд (НПФ). Граждане, решившие сменить страховщика со следующего года, должны направить заявление в СФР до 1 декабря 2023 года.</w:t>
      </w:r>
    </w:p>
    <w:p w:rsidR="00DE245B" w:rsidRPr="00311EBC" w:rsidRDefault="00DE245B" w:rsidP="00073C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переходе к другому страховщику можно подать в клиентской службе Отделения СФР по Республике Карелия или в электронной форме –</w:t>
      </w:r>
      <w:r w:rsidR="001B0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портале </w:t>
      </w:r>
      <w:proofErr w:type="spellStart"/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использованием усиленной квалифицированной электронной подписи). При этом не позднее 31 декабря можно </w:t>
      </w:r>
      <w:r w:rsidR="001B07A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 отказе от смены страховщика, если гражданин передумал его менять. </w:t>
      </w:r>
    </w:p>
    <w:p w:rsidR="00DE245B" w:rsidRPr="00311EBC" w:rsidRDefault="00DE245B" w:rsidP="00DE2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перевода пенсионных накоплений из </w:t>
      </w:r>
      <w:r w:rsidR="00073C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фонда России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НПФ или из одного НПФ в другой необходимо заключить с выбранным фондом договор об обязательном пенсионном страховании. Реквизиты  нового договора указываются  в заявлении о смене страховщика.</w:t>
      </w:r>
    </w:p>
    <w:p w:rsidR="00645F55" w:rsidRPr="00F4397B" w:rsidRDefault="00073C95" w:rsidP="00073C9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ВАЖНО!</w:t>
      </w:r>
      <w:r w:rsidR="00DE245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DE245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ереход от  одного страховщика к другому без потери </w:t>
      </w:r>
      <w:r w:rsidR="001B07A5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инвестиционного дохода  возможен</w:t>
      </w:r>
      <w:r w:rsidR="00F4397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 раз в пять лет. </w:t>
      </w:r>
      <w:r w:rsidR="00DE245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подаче заявления гражданину предоставляется информация о возможной потере</w:t>
      </w:r>
      <w:r w:rsidR="00F4397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досрочного перехода</w:t>
      </w:r>
      <w:r w:rsidR="00B219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(до истечения пятилетнего периода)</w:t>
      </w:r>
      <w:r w:rsidR="00F4397B" w:rsidRPr="00F439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DE245B" w:rsidRPr="00311EBC" w:rsidRDefault="00DE245B" w:rsidP="00DE245B">
      <w:pPr>
        <w:shd w:val="clear" w:color="auto" w:fill="FFFFFF"/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В 2023 году поменять страховщика без потери инвестиционного дохода могут граждане, которые начали формировать свои пенсионные накопления у текущего страховщика в 2014 и 2019 годах. </w:t>
      </w:r>
    </w:p>
    <w:p w:rsidR="00DE245B" w:rsidRDefault="00DE245B" w:rsidP="00DE2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по принятым в течение 2023 года заявлениям будет вынесено до 1 марта 2024 года (в случае досрочного перехода) либо до 1 марта года, в к</w:t>
      </w:r>
      <w:r w:rsidR="004E28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отором истекает пятилетний срок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2868" w:rsidRPr="00311EBC" w:rsidRDefault="005F2868" w:rsidP="00DE2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2023 году </w:t>
      </w:r>
      <w:r w:rsidR="001B07A5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 Карелии уже направили в СФР заявления о переводе средств пенсионных накоплений из НПФ в Социальный фонд России.</w:t>
      </w:r>
    </w:p>
    <w:p w:rsidR="00DE245B" w:rsidRPr="00311EBC" w:rsidRDefault="00DE245B" w:rsidP="00DE24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Узнать, кто сегодня является страховщиком Ваших пенсионных накоплений</w:t>
      </w:r>
      <w:r w:rsidR="001B07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 Личном кабинете на портале </w:t>
      </w:r>
      <w:proofErr w:type="spellStart"/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сайте </w:t>
      </w:r>
      <w:r w:rsidR="004E28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СФР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28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заказав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справку (выписку) о состоянии индивидуального лицевого счета. В ней есть вся информация о том, кто сегодня управляет Вашими накоплениями, а также указана сумма дохода от инвестирования средств пенсионных накоплений, не подлежащего передаче, в случае досрочного перехода.</w:t>
      </w:r>
      <w:r w:rsidR="004E2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узнать, кто на сегодняшний день является Вашим страховщиком, можно обратившись в любую клиентскую службу Социального фонда.  </w:t>
      </w:r>
    </w:p>
    <w:p w:rsidR="00471D72" w:rsidRDefault="00DE245B" w:rsidP="004E28F8">
      <w:pPr>
        <w:shd w:val="clear" w:color="auto" w:fill="FFFFFF"/>
        <w:spacing w:afterAutospacing="1" w:line="240" w:lineRule="auto"/>
        <w:jc w:val="both"/>
        <w:rPr>
          <w:i/>
          <w:color w:val="212121"/>
        </w:rPr>
      </w:pPr>
      <w:r w:rsidRPr="00311E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Напомним, </w:t>
      </w:r>
      <w:r w:rsidRPr="00311E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средства пенсионных накоплений формировалась  у работающих граждан 1967 года рождения и моложе за счёт уплаты страховых взносов в ПФР, у всех участников программы государственного </w:t>
      </w:r>
      <w:proofErr w:type="spellStart"/>
      <w:r w:rsidRPr="00311E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софинансирования</w:t>
      </w:r>
      <w:proofErr w:type="spellEnd"/>
      <w:r w:rsidRPr="00311E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и у тех, кто направил материнский капитал на формирование будущей пенсии. Также в 2002-2004 годах накопительная часть пенсии в обязательном порядке формировалась у мужчин 1953-1966 года рождения и у </w:t>
      </w:r>
      <w:r w:rsidRPr="00311EB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женщин 1957-1966 года рождения. С 2014 года отчисления работодателей полностью направляются на формирование только страховой пенсии.</w:t>
      </w:r>
    </w:p>
    <w:p w:rsidR="002840AB" w:rsidRPr="004E28F8" w:rsidRDefault="002840AB" w:rsidP="00F1545C">
      <w:pPr>
        <w:pStyle w:val="a3"/>
        <w:spacing w:before="0" w:beforeAutospacing="0" w:after="0" w:afterAutospacing="0"/>
        <w:jc w:val="both"/>
        <w:rPr>
          <w:i/>
          <w:color w:val="212121"/>
          <w:sz w:val="20"/>
          <w:szCs w:val="20"/>
        </w:rPr>
      </w:pPr>
      <w:r w:rsidRPr="004E28F8">
        <w:rPr>
          <w:i/>
          <w:color w:val="212121"/>
          <w:sz w:val="20"/>
          <w:szCs w:val="20"/>
        </w:rPr>
        <w:t>Пресс-служба</w:t>
      </w:r>
      <w:r w:rsidR="00E55A1B" w:rsidRPr="004E28F8">
        <w:rPr>
          <w:i/>
          <w:color w:val="212121"/>
          <w:sz w:val="20"/>
          <w:szCs w:val="20"/>
        </w:rPr>
        <w:t xml:space="preserve"> </w:t>
      </w:r>
      <w:r w:rsidRPr="004E28F8">
        <w:rPr>
          <w:i/>
          <w:color w:val="212121"/>
          <w:sz w:val="20"/>
          <w:szCs w:val="20"/>
        </w:rPr>
        <w:t>Отделения СФР по Республике Карелия</w:t>
      </w:r>
    </w:p>
    <w:p w:rsidR="004E28F8" w:rsidRPr="004E28F8" w:rsidRDefault="004E28F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  <w:sz w:val="20"/>
          <w:szCs w:val="20"/>
        </w:rPr>
      </w:pPr>
      <w:r w:rsidRPr="004E28F8">
        <w:rPr>
          <w:i/>
          <w:color w:val="212121"/>
          <w:sz w:val="20"/>
          <w:szCs w:val="20"/>
        </w:rPr>
        <w:t>13.11.2023</w:t>
      </w: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p w:rsidR="00401818" w:rsidRDefault="00401818" w:rsidP="00F1545C">
      <w:pPr>
        <w:pStyle w:val="a3"/>
        <w:shd w:val="clear" w:color="auto" w:fill="FFFFFF"/>
        <w:spacing w:before="0" w:beforeAutospacing="0" w:after="0" w:afterAutospacing="0"/>
        <w:ind w:firstLine="709"/>
        <w:rPr>
          <w:i/>
          <w:color w:val="212121"/>
        </w:rPr>
      </w:pPr>
    </w:p>
    <w:sectPr w:rsidR="00401818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12E12"/>
    <w:multiLevelType w:val="hybridMultilevel"/>
    <w:tmpl w:val="C51C36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0B41"/>
    <w:rsid w:val="00020654"/>
    <w:rsid w:val="00021869"/>
    <w:rsid w:val="000227AF"/>
    <w:rsid w:val="00033DF5"/>
    <w:rsid w:val="000346DD"/>
    <w:rsid w:val="000506CA"/>
    <w:rsid w:val="00073C95"/>
    <w:rsid w:val="00074E6E"/>
    <w:rsid w:val="00076A27"/>
    <w:rsid w:val="0008457D"/>
    <w:rsid w:val="000B193F"/>
    <w:rsid w:val="000B2F6F"/>
    <w:rsid w:val="000E3A4A"/>
    <w:rsid w:val="000F6EF2"/>
    <w:rsid w:val="00115D91"/>
    <w:rsid w:val="0014545C"/>
    <w:rsid w:val="00172469"/>
    <w:rsid w:val="00173D0A"/>
    <w:rsid w:val="001A1C9E"/>
    <w:rsid w:val="001B07A5"/>
    <w:rsid w:val="001B6393"/>
    <w:rsid w:val="001E7434"/>
    <w:rsid w:val="00271CBE"/>
    <w:rsid w:val="002772D6"/>
    <w:rsid w:val="00277461"/>
    <w:rsid w:val="002840AB"/>
    <w:rsid w:val="002B332F"/>
    <w:rsid w:val="003447FE"/>
    <w:rsid w:val="00372843"/>
    <w:rsid w:val="0038486A"/>
    <w:rsid w:val="003C6A0E"/>
    <w:rsid w:val="003E1ED7"/>
    <w:rsid w:val="003E47F3"/>
    <w:rsid w:val="00401818"/>
    <w:rsid w:val="004030A9"/>
    <w:rsid w:val="00417E8B"/>
    <w:rsid w:val="00435A4B"/>
    <w:rsid w:val="00443E85"/>
    <w:rsid w:val="00464C6D"/>
    <w:rsid w:val="004706C0"/>
    <w:rsid w:val="00471D72"/>
    <w:rsid w:val="004A23B3"/>
    <w:rsid w:val="004E28F8"/>
    <w:rsid w:val="00500163"/>
    <w:rsid w:val="00517F8F"/>
    <w:rsid w:val="00550074"/>
    <w:rsid w:val="005A0E5B"/>
    <w:rsid w:val="005F2868"/>
    <w:rsid w:val="00620DAF"/>
    <w:rsid w:val="0062101E"/>
    <w:rsid w:val="00630B50"/>
    <w:rsid w:val="00641F32"/>
    <w:rsid w:val="00645F55"/>
    <w:rsid w:val="00661D0E"/>
    <w:rsid w:val="00695E03"/>
    <w:rsid w:val="006A3EB0"/>
    <w:rsid w:val="006D497B"/>
    <w:rsid w:val="006E704F"/>
    <w:rsid w:val="007015C9"/>
    <w:rsid w:val="007112FF"/>
    <w:rsid w:val="00713049"/>
    <w:rsid w:val="007178D5"/>
    <w:rsid w:val="00725903"/>
    <w:rsid w:val="00747532"/>
    <w:rsid w:val="0076303B"/>
    <w:rsid w:val="00783BDB"/>
    <w:rsid w:val="007B4F1E"/>
    <w:rsid w:val="007D012C"/>
    <w:rsid w:val="0086226F"/>
    <w:rsid w:val="008703BB"/>
    <w:rsid w:val="00874298"/>
    <w:rsid w:val="008A0B41"/>
    <w:rsid w:val="008B78A6"/>
    <w:rsid w:val="008D5E6E"/>
    <w:rsid w:val="008D7C1F"/>
    <w:rsid w:val="0090033B"/>
    <w:rsid w:val="009211B4"/>
    <w:rsid w:val="00942FCF"/>
    <w:rsid w:val="00975DBD"/>
    <w:rsid w:val="009A3115"/>
    <w:rsid w:val="009A625A"/>
    <w:rsid w:val="009B6D5D"/>
    <w:rsid w:val="009D4A9C"/>
    <w:rsid w:val="009E632F"/>
    <w:rsid w:val="009F31CA"/>
    <w:rsid w:val="009F44D4"/>
    <w:rsid w:val="00A044C7"/>
    <w:rsid w:val="00A37A5C"/>
    <w:rsid w:val="00AB0177"/>
    <w:rsid w:val="00AD422A"/>
    <w:rsid w:val="00B219C3"/>
    <w:rsid w:val="00B3256D"/>
    <w:rsid w:val="00B35652"/>
    <w:rsid w:val="00B6331A"/>
    <w:rsid w:val="00B70E85"/>
    <w:rsid w:val="00BB451C"/>
    <w:rsid w:val="00BB78AD"/>
    <w:rsid w:val="00C40986"/>
    <w:rsid w:val="00C5547F"/>
    <w:rsid w:val="00C647E5"/>
    <w:rsid w:val="00C976EE"/>
    <w:rsid w:val="00CB4425"/>
    <w:rsid w:val="00CE7764"/>
    <w:rsid w:val="00D1052E"/>
    <w:rsid w:val="00D2249F"/>
    <w:rsid w:val="00D3175D"/>
    <w:rsid w:val="00D4151B"/>
    <w:rsid w:val="00D459FE"/>
    <w:rsid w:val="00D826A7"/>
    <w:rsid w:val="00D923B1"/>
    <w:rsid w:val="00DE245B"/>
    <w:rsid w:val="00E07DCB"/>
    <w:rsid w:val="00E1133A"/>
    <w:rsid w:val="00E55420"/>
    <w:rsid w:val="00E55A1B"/>
    <w:rsid w:val="00EC5D5E"/>
    <w:rsid w:val="00EE05E8"/>
    <w:rsid w:val="00F01A51"/>
    <w:rsid w:val="00F06C35"/>
    <w:rsid w:val="00F14629"/>
    <w:rsid w:val="00F14DB3"/>
    <w:rsid w:val="00F1545C"/>
    <w:rsid w:val="00F4397B"/>
    <w:rsid w:val="00F5384D"/>
    <w:rsid w:val="00FA1807"/>
    <w:rsid w:val="00FA1B30"/>
    <w:rsid w:val="00FD5266"/>
    <w:rsid w:val="00FF1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506CA"/>
    <w:rPr>
      <w:color w:val="0000FF" w:themeColor="hyperlink"/>
      <w:u w:val="single"/>
    </w:rPr>
  </w:style>
  <w:style w:type="paragraph" w:styleId="a9">
    <w:name w:val="Body Text"/>
    <w:basedOn w:val="a"/>
    <w:link w:val="aa"/>
    <w:rsid w:val="007178D5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7178D5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ab">
    <w:name w:val="List Paragraph"/>
    <w:basedOn w:val="a"/>
    <w:uiPriority w:val="34"/>
    <w:qFormat/>
    <w:rsid w:val="007178D5"/>
    <w:pPr>
      <w:ind w:left="720"/>
      <w:contextualSpacing/>
    </w:pPr>
  </w:style>
  <w:style w:type="character" w:customStyle="1" w:styleId="layout">
    <w:name w:val="layout"/>
    <w:basedOn w:val="a0"/>
    <w:rsid w:val="0014545C"/>
  </w:style>
  <w:style w:type="paragraph" w:customStyle="1" w:styleId="11">
    <w:name w:val="Заголовок 11"/>
    <w:basedOn w:val="a"/>
    <w:next w:val="a"/>
    <w:link w:val="1"/>
    <w:unhideWhenUsed/>
    <w:qFormat/>
    <w:rsid w:val="00DE245B"/>
    <w:pPr>
      <w:keepNext/>
      <w:keepLines/>
      <w:spacing w:line="259" w:lineRule="auto"/>
      <w:outlineLvl w:val="0"/>
    </w:pPr>
    <w:rPr>
      <w:rFonts w:ascii="Times New Roman" w:hAnsi="Times New Roman"/>
      <w:color w:val="000000"/>
      <w:sz w:val="38"/>
    </w:rPr>
  </w:style>
  <w:style w:type="character" w:customStyle="1" w:styleId="1">
    <w:name w:val="Заголовок 1 Знак"/>
    <w:link w:val="11"/>
    <w:qFormat/>
    <w:rsid w:val="00DE245B"/>
    <w:rPr>
      <w:rFonts w:ascii="Times New Roman" w:hAnsi="Times New Roman"/>
      <w:color w:val="000000"/>
      <w:sz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2023-11-14T08:35:00Z</dcterms:created>
  <dcterms:modified xsi:type="dcterms:W3CDTF">2023-11-14T08:36:00Z</dcterms:modified>
</cp:coreProperties>
</file>