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Хищения с объектов электроэнергетики - воровство проводов и кабеля линий электропередачи, кража оборудования с подстанций и иных энергообъектов.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2665" cy="443058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670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5902664" cy="4430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4.78pt;height:348.86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Энерговор подвергает риску свою жизнь и жизнь соседей.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Действующее оборудование, находящееся под напряжением, представляет собой смертельную угрозу. Поэтому присоединение к электрическим сетям должны выполнять профессионалы, обладающие знаниями схемы электроснабжения в конкретном помещении, квалификацией, собл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юдающие все технические правила и правила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Недобросовестные потребители, решившие самовольно присоединится к электросетям, и охотники за цветным металлом на энергообъектах подвергают свою жизнь смертельной опасности. Ежегодно для десятков наших соотечественников попытки подключить дачные строения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электросети «кустарным» способом или перерезать находящийся под напряжением кабель оканчиваются тяжелыми ожогами, ампутацией конечностей или гибелью.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Наиболее часто энерговоры своими действиями вызывают замыкание энергопроводящих контактов и попадают под действие электрической дуги - перемещения электрического заряда по воздуху на расстояние от нескольких сантиметров до нескольких метров от источника 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сокого напряжения.  Со стороны электрическая дуга напоминает взрыв. Окружающий воздух за доли секунды разогревается до температуры плазмы - 14 000 градусов по Цельсию. При такой температуре плавится и испаряется металл. Незащищенный человек, оказавшийся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пути сопровождающего дугу огромного теплового потока, неизбежно получает тяжелейшие ожоги, как правило, не совместимые с жизнью. У выживших глубина некроза тканей влечет ампутацию обожженных конечностей.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150"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Несанкционированное подключение – причина пожаров.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Подключаемая мимо счетчика нагрузка большой мощности не имеет защиты. Опасность возгорания грозит домам нарушителей их соседей. Энерговоры действуют в нарушение всех правил пожарной и электробезопасности: используют самодельные устройства и приспособления,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вместо клемм для установки соединения скручивают провода или используют подручные предметы типа иголок. Плохой контакт и низкое качество провода при повышенной нагрузке на электросеть становятся причиной искрения и возгорания электропроводки.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Пожары электропроводки – наиболее часто встречающиеся (41% возгораний) и наиболее разрушительные. Очаг пожара обнаружить очень трудно. Часто тлеющую электропроводку удаётся обнаружить только тогда, когда начинается открытое возгорание.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вы чувствуете запах горящей или оплавляющейся проводки, незамедлительно отключите электроприборы и обесточьте дом. Постарайтесь самостоятельно найти источники запаха и вызовите электриков.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хищение электроэнергии в крупном и особо крупном размере предусмотрена ответственность по ст. 165 УК РФ (причинение имущественного ущерба путем обмана или злоупотребления доверием при отсутствии признаков хищения), и, помимо штрафа, может быть назначено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наказание в виде исправительных работ на срок до одного года, ареста до четырех месяцев или лишения свободы на срок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(8142) 59-90-90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круглосуточно, бесплатно, конфиденциально.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/>
        <w:shd w:val="clear" w:color="ffffff" w:fill="ffffff"/>
        <w:rPr>
          <w:rFonts w:ascii="Noto Sans" w:hAnsi="Noto Sans" w:eastAsia="Noto Sans" w:cs="Noto Sans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" w:hAnsi="Noto Sans" w:eastAsia="Noto Sans" w:cs="Noto Sans"/>
          <w:color w:val="000000"/>
          <w:sz w:val="21"/>
          <w:highlight w:val="none"/>
        </w:rPr>
      </w:r>
      <w:r>
        <w:rPr>
          <w:rFonts w:ascii="Noto Sans" w:hAnsi="Noto Sans" w:eastAsia="Noto Sans" w:cs="Noto Sans"/>
          <w:color w:val="000000"/>
          <w:sz w:val="21"/>
          <w:highlight w:val="none"/>
        </w:rPr>
      </w:r>
      <w:r>
        <w:rPr>
          <w:rFonts w:ascii="Noto Sans" w:hAnsi="Noto Sans" w:eastAsia="Noto Sans" w:cs="Noto Sans"/>
          <w:sz w:val="21"/>
          <w:szCs w:val="21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2025-05-06T03:46:31Z</dcterms:modified>
</cp:coreProperties>
</file>