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24.05.2022 N 355</w:t>
              <w:br/>
              <w:t xml:space="preserve">(ред. от 27.03.2025)</w:t>
              <w:br/>
              <w:t xml:space="preserve">"Об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br/>
              <w:t xml:space="preserve">(Зарегистрировано в Минюсте России 24.06.2022 N 68984)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24 июня 2022 г. N 68984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мая 2022 г. N 355</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35.01.27 МАСТЕР СЕЛЬСКОХОЗЯЙСТВЕННОГО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03.07.2024 </w:t>
            </w:r>
            <w:hyperlink w:history="0" r:id="rId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27.03.2025 </w:t>
            </w:r>
            <w:hyperlink w:history="0" r:id="rId9"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N 239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1"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4"/>
            <w:color w:val="0000ff"/>
          </w:rPr>
          <w:t xml:space="preserve">стандарт</w:t>
        </w:r>
      </w:hyperlink>
      <w:r>
        <w:rPr>
          <w:sz w:val="24"/>
        </w:rPr>
        <w:t xml:space="preserve"> среднего профессионального образования по профессии 35.01.27 Мастер сельскохозяйственного производства (далее - стандарт).</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со </w:t>
      </w:r>
      <w:hyperlink w:history="0" w:anchor="P37" w:tooltip="ФЕДЕРАЛЬНЫЙ ГОСУДАРСТВЕННЫЙ ОБРАЗОВАТЕЛЬНЫЙ СТАНДАРТ">
        <w:r>
          <w:rPr>
            <w:sz w:val="24"/>
            <w:color w:val="0000ff"/>
          </w:rPr>
          <w:t xml:space="preserve">стандартом</w:t>
        </w:r>
      </w:hyperlink>
      <w:r>
        <w:rPr>
          <w:sz w:val="24"/>
        </w:rPr>
        <w:t xml:space="preserve"> обучение лиц, зачисленных до вступления в силу настоящего приказа, с их согласия;</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2" w:tooltip="Приказ Минобрнауки России от 02.08.2013 N 709 (ред. от 13.07.2021) &quot;Об утверждении федерального государственного образовательного стандарта среднего профессионального образования по профессии 110800.04 Мастер по техническому обслуживанию и ремонту машинно-тракторного парка&quot; (Зарегистрировано в Минюсте России 20.08.2013 N 29550)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3"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110800.04</w:t>
        </w:r>
      </w:hyperlink>
      <w:r>
        <w:rPr>
          <w:sz w:val="24"/>
        </w:rPr>
        <w:t xml:space="preserve"> Мастер по техническому обслуживанию и ремонту машинно-тракторного парка, утвержденным приказом Министерства образования и науки Российской Федерации от 2 августа 2013 г. N 709 (зарегистрирован Министерством юстиции Российской Федерации 20 августа 2013 г., регистрационный N 29550), с изменениями, внесенными приказом Министерства образования и науки Российской Федерации от 9 апреля 2015 г. N 389 (зарегистрирован Министерством юстиции Российской Федерации 8 мая 2015 г., регистрационный N 37216)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федеральным государственным образовательным </w:t>
      </w:r>
      <w:hyperlink w:history="0" r:id="rId14" w:tooltip="Приказ Минобрнауки России от 02.08.2013 N 740 (ред. от 13.07.2021) &quot;Об утверждении федерального государственного образовательного стандарта среднего профессионального образования по профессии 110800.02 Тракторист-машинист сельскохозяйственного производства&quot; (Зарегистрировано в Минюсте России 20.08.2013 N 29506)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5"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110800.02</w:t>
        </w:r>
      </w:hyperlink>
      <w:r>
        <w:rPr>
          <w:sz w:val="24"/>
        </w:rPr>
        <w:t xml:space="preserve"> Тракторист-машинист сельскохозяйственного производства, утвержденным приказом Министерства образования и науки Российской Федерации от 2 августа 2013 г. N 740 (зарегистрирован Министерством юстиции Российской Федерации 20 августа 2013 г., регистрационный N 29506),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и федеральным государственным образовательным </w:t>
      </w:r>
      <w:hyperlink w:history="0" r:id="rId16" w:tooltip="Приказ Минобрнауки России от 02.08.2013 N 855 (ред. от 13.07.2021) &quot;Об утверждении федерального государственного образовательного стандарта среднего профессионального образования по профессии 110800.01 Мастер сельскохозяйственного производства&quot; (Зарегистрировано в Минюсте России 20.08.2013 N 29637)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7"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110800.01</w:t>
        </w:r>
      </w:hyperlink>
      <w:r>
        <w:rPr>
          <w:sz w:val="24"/>
        </w:rPr>
        <w:t xml:space="preserve"> Мастер сельскохозяйственного производства, утвержденным приказом Министерства образования и науки Российской Федерации от 2 августа 2013 г. N 855 (зарегистрирован Министерством юстиции Российской Федерации 20 августа 2013 г., регистрационный N 29637),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 а при реализации образовательной организацией образовательной программы по профессии </w:t>
      </w:r>
      <w:hyperlink w:history="0" r:id="rId18" w:tooltip="Приказ Минпросвещения России от 17.05.2022 N 336 (ред. от 16.09.2025)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4"/>
            <w:color w:val="0000ff"/>
          </w:rPr>
          <w:t xml:space="preserve">35.01.27</w:t>
        </w:r>
      </w:hyperlink>
      <w:r>
        <w:rPr>
          <w:sz w:val="24"/>
        </w:rPr>
        <w:t xml:space="preserve"> Мастер сельскохозяйственного производства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проводимого в соответствии с </w:t>
      </w:r>
      <w:hyperlink w:history="0" r:id="rId19"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16 марта 2022 г. N 387 (Собрание законодательства Российской Федерации, 2022, N 12, ст. 1871), - с 1 августа 2022 года.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24 мая 2022 г. N 355</w:t>
      </w:r>
    </w:p>
    <w:p>
      <w:pPr>
        <w:pStyle w:val="0"/>
        <w:jc w:val="both"/>
      </w:pPr>
      <w:r>
        <w:rPr>
          <w:sz w:val="24"/>
        </w:rPr>
      </w:r>
    </w:p>
    <w:bookmarkStart w:id="37" w:name="P37"/>
    <w:bookmarkEnd w:id="37"/>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35.01.27 МАСТЕР СЕЛЬСКОХОЗЯЙСТВЕННОГО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03.07.2024 </w:t>
            </w:r>
            <w:hyperlink w:history="0" r:id="rId2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27.03.2025 </w:t>
            </w:r>
            <w:hyperlink w:history="0" r:id="rId21"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N 239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bookmarkStart w:id="46" w:name="P46"/>
    <w:bookmarkEnd w:id="46"/>
    <w:p>
      <w:pPr>
        <w:pStyle w:val="0"/>
        <w:ind w:firstLine="540"/>
        <w:jc w:val="both"/>
      </w:pPr>
      <w:r>
        <w:rPr>
          <w:sz w:val="24"/>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"Мастер сельскохозяйственного производства".</w:t>
      </w:r>
    </w:p>
    <w:p>
      <w:pPr>
        <w:pStyle w:val="0"/>
        <w:spacing w:before="240" w:lineRule="auto"/>
        <w:ind w:firstLine="540"/>
        <w:jc w:val="both"/>
      </w:pPr>
      <w:r>
        <w:rPr>
          <w:sz w:val="24"/>
        </w:rPr>
        <w:t xml:space="preserve">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40" w:lineRule="auto"/>
        <w:ind w:firstLine="540"/>
        <w:jc w:val="both"/>
      </w:pPr>
      <w:r>
        <w:rPr>
          <w:sz w:val="24"/>
        </w:rP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&lt;1&gt;, ФГОС СПО и положений федеральной основной общеобразовательной программы среднего общего образования с учетом получаемой профессии.</w:t>
      </w:r>
    </w:p>
    <w:p>
      <w:pPr>
        <w:pStyle w:val="0"/>
        <w:jc w:val="both"/>
      </w:pPr>
      <w:r>
        <w:rPr>
          <w:sz w:val="24"/>
        </w:rPr>
        <w:t xml:space="preserve">(в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государственный образовательный </w:t>
      </w:r>
      <w:hyperlink w:history="0" r:id="rId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4"/>
        </w:rPr>
        <w:t xml:space="preserve">(в ред.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ind w:firstLine="540"/>
        <w:jc w:val="both"/>
      </w:pPr>
      <w:r>
        <w:rPr>
          <w:sz w:val="24"/>
        </w:rPr>
        <w:t xml:space="preserve">1.4. Обучение по образовательной программе в образовательной организации осуществляется в очной и очно-заочной формах обучения.</w:t>
      </w:r>
    </w:p>
    <w:p>
      <w:pPr>
        <w:pStyle w:val="0"/>
        <w:spacing w:before="240" w:lineRule="auto"/>
        <w:ind w:firstLine="540"/>
        <w:jc w:val="both"/>
      </w:pPr>
      <w:r>
        <w:rPr>
          <w:sz w:val="24"/>
        </w:rPr>
        <w:t xml:space="preserve">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40" w:lineRule="auto"/>
        <w:ind w:firstLine="540"/>
        <w:jc w:val="both"/>
      </w:pPr>
      <w:r>
        <w:rPr>
          <w:sz w:val="24"/>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40" w:lineRule="auto"/>
        <w:ind w:firstLine="540"/>
        <w:jc w:val="both"/>
      </w:pPr>
      <w:r>
        <w:rPr>
          <w:sz w:val="24"/>
        </w:rPr>
        <w:t xml:space="preserve">1.6.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40" w:lineRule="auto"/>
        <w:ind w:firstLine="540"/>
        <w:jc w:val="both"/>
      </w:pPr>
      <w:r>
        <w:rPr>
          <w:sz w:val="24"/>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40" w:lineRule="auto"/>
        <w:ind w:firstLine="540"/>
        <w:jc w:val="both"/>
      </w:pPr>
      <w:r>
        <w:rPr>
          <w:sz w:val="24"/>
        </w:rPr>
        <w:t xml:space="preserve">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 &lt;2&gt;.</w:t>
      </w:r>
    </w:p>
    <w:p>
      <w:pPr>
        <w:pStyle w:val="0"/>
        <w:jc w:val="both"/>
      </w:pPr>
      <w:r>
        <w:rPr>
          <w:sz w:val="24"/>
        </w:rPr>
        <w:t xml:space="preserve">(в ред. </w:t>
      </w:r>
      <w:hyperlink w:history="0" r:id="rId2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Часть 2 статьи 12.1</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4"/>
        </w:rPr>
      </w:r>
    </w:p>
    <w:p>
      <w:pPr>
        <w:pStyle w:val="0"/>
        <w:ind w:firstLine="540"/>
        <w:jc w:val="both"/>
      </w:pPr>
      <w:r>
        <w:rPr>
          <w:sz w:val="24"/>
        </w:rPr>
        <w:t xml:space="preserve">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Статья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4"/>
        </w:rPr>
      </w:r>
    </w:p>
    <w:bookmarkStart w:id="68" w:name="P68"/>
    <w:bookmarkEnd w:id="68"/>
    <w:p>
      <w:pPr>
        <w:pStyle w:val="0"/>
        <w:ind w:firstLine="540"/>
        <w:jc w:val="both"/>
      </w:pPr>
      <w:r>
        <w:rPr>
          <w:sz w:val="24"/>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40" w:lineRule="auto"/>
        <w:ind w:firstLine="540"/>
        <w:jc w:val="both"/>
      </w:pPr>
      <w:r>
        <w:rPr>
          <w:sz w:val="24"/>
        </w:rPr>
        <w:t xml:space="preserve">на базе среднего общего образования - 10 месяцев;</w:t>
      </w:r>
    </w:p>
    <w:p>
      <w:pPr>
        <w:pStyle w:val="0"/>
        <w:spacing w:before="240" w:lineRule="auto"/>
        <w:ind w:firstLine="540"/>
        <w:jc w:val="both"/>
      </w:pPr>
      <w:r>
        <w:rPr>
          <w:sz w:val="24"/>
        </w:rPr>
        <w:t xml:space="preserve">на базе основного общего образования - 1 год 10 месяцев.</w:t>
      </w:r>
    </w:p>
    <w:p>
      <w:pPr>
        <w:pStyle w:val="0"/>
        <w:spacing w:before="240" w:lineRule="auto"/>
        <w:ind w:firstLine="540"/>
        <w:jc w:val="both"/>
      </w:pPr>
      <w:r>
        <w:rPr>
          <w:sz w:val="24"/>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40" w:lineRule="auto"/>
        <w:ind w:firstLine="540"/>
        <w:jc w:val="both"/>
      </w:pPr>
      <w:r>
        <w:rPr>
          <w:sz w:val="24"/>
        </w:rPr>
        <w:t xml:space="preserve">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40" w:lineRule="auto"/>
        <w:ind w:firstLine="540"/>
        <w:jc w:val="both"/>
      </w:pPr>
      <w:r>
        <w:rPr>
          <w:sz w:val="24"/>
        </w:rPr>
        <w:t xml:space="preserve">При обучении по индивидуальному учебному плану несовершеннолетних обучающихся по очной форме обучения, осваивающих виды деятельности, предполагающие выполнение работ из числа работ, включенных в </w:t>
      </w:r>
      <w:hyperlink w:history="0" r:id="rId28"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4"/>
            <w:color w:val="0000ff"/>
          </w:rPr>
          <w:t xml:space="preserve">перечень</w:t>
        </w:r>
      </w:hyperlink>
      <w:r>
        <w:rPr>
          <w:sz w:val="24"/>
        </w:rPr>
        <w:t xml:space="preserve">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Российской Федерации от 25 февраля 2000 г. N 163,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jc w:val="both"/>
      </w:pPr>
      <w:r>
        <w:rPr>
          <w:sz w:val="24"/>
        </w:rPr>
        <w:t xml:space="preserve">(абзац введен </w:t>
      </w:r>
      <w:hyperlink w:history="0" r:id="rId29"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Приказом</w:t>
        </w:r>
      </w:hyperlink>
      <w:r>
        <w:rPr>
          <w:sz w:val="24"/>
        </w:rPr>
        <w:t xml:space="preserve"> Минпросвещения России от 27.03.2025 N 239)</w:t>
      </w:r>
    </w:p>
    <w:p>
      <w:pPr>
        <w:pStyle w:val="0"/>
        <w:spacing w:before="240" w:lineRule="auto"/>
        <w:ind w:firstLine="540"/>
        <w:jc w:val="both"/>
      </w:pPr>
      <w:r>
        <w:rPr>
          <w:sz w:val="24"/>
        </w:rPr>
        <w:t xml:space="preserve">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w:t>
      </w:r>
      <w:hyperlink w:history="0" w:anchor="P68" w:tooltip="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4"/>
            <w:color w:val="0000ff"/>
          </w:rPr>
          <w:t xml:space="preserve">пунктом 1.9</w:t>
        </w:r>
      </w:hyperlink>
      <w:r>
        <w:rPr>
          <w:sz w:val="24"/>
        </w:rPr>
        <w:t xml:space="preserve"> ФГОС СПО.</w:t>
      </w:r>
    </w:p>
    <w:p>
      <w:pPr>
        <w:pStyle w:val="0"/>
        <w:spacing w:before="240" w:lineRule="auto"/>
        <w:ind w:firstLine="540"/>
        <w:jc w:val="both"/>
      </w:pPr>
      <w:r>
        <w:rPr>
          <w:sz w:val="24"/>
        </w:rPr>
        <w:t xml:space="preserve">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77" w:name="P77"/>
    <w:bookmarkEnd w:id="77"/>
    <w:p>
      <w:pPr>
        <w:pStyle w:val="0"/>
        <w:spacing w:before="240" w:lineRule="auto"/>
        <w:ind w:firstLine="540"/>
        <w:jc w:val="both"/>
      </w:pPr>
      <w:r>
        <w:rPr>
          <w:sz w:val="24"/>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3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13</w:t>
        </w:r>
      </w:hyperlink>
      <w:r>
        <w:rPr>
          <w:sz w:val="24"/>
        </w:rPr>
        <w:t xml:space="preserve"> Сельское хозяйство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Таблица</w:t>
        </w:r>
      </w:hyperlink>
      <w:r>
        <w:rPr>
          <w:sz w:val="24"/>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4"/>
        </w:rPr>
      </w:r>
    </w:p>
    <w:p>
      <w:pPr>
        <w:pStyle w:val="0"/>
        <w:ind w:firstLine="540"/>
        <w:jc w:val="both"/>
      </w:pPr>
      <w:r>
        <w:rPr>
          <w:sz w:val="24"/>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40" w:lineRule="auto"/>
        <w:ind w:firstLine="540"/>
        <w:jc w:val="both"/>
      </w:pPr>
      <w:r>
        <w:rPr>
          <w:sz w:val="24"/>
        </w:rPr>
        <w:t xml:space="preserve">1.14. При разработке образовательной программы образовательная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pPr>
        <w:pStyle w:val="0"/>
        <w:jc w:val="both"/>
      </w:pPr>
      <w:r>
        <w:rPr>
          <w:sz w:val="24"/>
        </w:rPr>
        <w:t xml:space="preserve">(п. 1.14 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2"/>
        <w:outlineLvl w:val="1"/>
        <w:jc w:val="center"/>
      </w:pPr>
      <w:r>
        <w:rPr>
          <w:sz w:val="24"/>
        </w:rPr>
        <w:t xml:space="preserve">II. ТРЕБОВАНИЯ К СТРУКТУРЕ ОБРАЗОВАТЕЛЬНОЙ ПРОГРАММЫ</w:t>
      </w:r>
    </w:p>
    <w:p>
      <w:pPr>
        <w:pStyle w:val="0"/>
        <w:jc w:val="both"/>
      </w:pPr>
      <w:r>
        <w:rPr>
          <w:sz w:val="24"/>
        </w:rPr>
      </w:r>
    </w:p>
    <w:p>
      <w:pPr>
        <w:pStyle w:val="0"/>
        <w:ind w:firstLine="540"/>
        <w:jc w:val="both"/>
      </w:pPr>
      <w:r>
        <w:rPr>
          <w:sz w:val="24"/>
        </w:rPr>
        <w:t xml:space="preserve">2.1. Структура и объем образовательной программы </w:t>
      </w:r>
      <w:hyperlink w:history="0" w:anchor="P94" w:tooltip="Структура и объем образовательной программы">
        <w:r>
          <w:rPr>
            <w:sz w:val="24"/>
            <w:color w:val="0000ff"/>
          </w:rPr>
          <w:t xml:space="preserve">(таблица N 1)</w:t>
        </w:r>
      </w:hyperlink>
      <w:r>
        <w:rPr>
          <w:sz w:val="24"/>
        </w:rPr>
        <w:t xml:space="preserve"> включает:</w:t>
      </w:r>
    </w:p>
    <w:p>
      <w:pPr>
        <w:pStyle w:val="0"/>
        <w:spacing w:before="240" w:lineRule="auto"/>
        <w:ind w:firstLine="540"/>
        <w:jc w:val="both"/>
      </w:pPr>
      <w:r>
        <w:rPr>
          <w:sz w:val="24"/>
        </w:rPr>
        <w:t xml:space="preserve">дисциплины (модули);</w:t>
      </w:r>
    </w:p>
    <w:p>
      <w:pPr>
        <w:pStyle w:val="0"/>
        <w:spacing w:before="240" w:lineRule="auto"/>
        <w:ind w:firstLine="540"/>
        <w:jc w:val="both"/>
      </w:pPr>
      <w:r>
        <w:rPr>
          <w:sz w:val="24"/>
        </w:rPr>
        <w:t xml:space="preserve">практику;</w:t>
      </w:r>
    </w:p>
    <w:p>
      <w:pPr>
        <w:pStyle w:val="0"/>
        <w:spacing w:before="240" w:lineRule="auto"/>
        <w:ind w:firstLine="540"/>
        <w:jc w:val="both"/>
      </w:pPr>
      <w:r>
        <w:rPr>
          <w:sz w:val="24"/>
        </w:rPr>
        <w:t xml:space="preserve">государственную итоговую аттестацию.</w:t>
      </w:r>
    </w:p>
    <w:p>
      <w:pPr>
        <w:pStyle w:val="0"/>
        <w:jc w:val="both"/>
      </w:pPr>
      <w:r>
        <w:rPr>
          <w:sz w:val="24"/>
        </w:rPr>
      </w:r>
    </w:p>
    <w:p>
      <w:pPr>
        <w:pStyle w:val="0"/>
        <w:jc w:val="right"/>
      </w:pPr>
      <w:r>
        <w:rPr>
          <w:sz w:val="24"/>
        </w:rPr>
        <w:t xml:space="preserve">Таблица N 1</w:t>
      </w:r>
    </w:p>
    <w:p>
      <w:pPr>
        <w:pStyle w:val="0"/>
        <w:jc w:val="both"/>
      </w:pPr>
      <w:r>
        <w:rPr>
          <w:sz w:val="24"/>
        </w:rPr>
      </w:r>
    </w:p>
    <w:bookmarkStart w:id="94" w:name="P94"/>
    <w:bookmarkEnd w:id="94"/>
    <w:p>
      <w:pPr>
        <w:pStyle w:val="0"/>
        <w:jc w:val="center"/>
      </w:pPr>
      <w:r>
        <w:rPr>
          <w:sz w:val="24"/>
        </w:rPr>
        <w:t xml:space="preserve">Структура и объем 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2"/>
        <w:gridCol w:w="2777"/>
      </w:tblGrid>
      <w:tr>
        <w:tc>
          <w:tcPr>
            <w:tcW w:w="6292" w:type="dxa"/>
          </w:tcPr>
          <w:p>
            <w:pPr>
              <w:pStyle w:val="0"/>
              <w:jc w:val="center"/>
            </w:pPr>
            <w:r>
              <w:rPr>
                <w:sz w:val="24"/>
              </w:rPr>
              <w:t xml:space="preserve">Структура образовательной программы</w:t>
            </w:r>
          </w:p>
        </w:tc>
        <w:tc>
          <w:tcPr>
            <w:tcW w:w="2777" w:type="dxa"/>
          </w:tcPr>
          <w:p>
            <w:pPr>
              <w:pStyle w:val="0"/>
              <w:jc w:val="center"/>
            </w:pPr>
            <w:r>
              <w:rPr>
                <w:sz w:val="24"/>
              </w:rPr>
              <w:t xml:space="preserve">Объем образовательной программы, в академических часах</w:t>
            </w:r>
          </w:p>
        </w:tc>
      </w:tr>
      <w:tr>
        <w:tc>
          <w:tcPr>
            <w:tcW w:w="6292" w:type="dxa"/>
          </w:tcPr>
          <w:p>
            <w:pPr>
              <w:pStyle w:val="0"/>
            </w:pPr>
            <w:r>
              <w:rPr>
                <w:sz w:val="24"/>
              </w:rPr>
              <w:t xml:space="preserve">Дисциплины (модули)</w:t>
            </w:r>
          </w:p>
        </w:tc>
        <w:tc>
          <w:tcPr>
            <w:tcW w:w="2777" w:type="dxa"/>
          </w:tcPr>
          <w:p>
            <w:pPr>
              <w:pStyle w:val="0"/>
              <w:jc w:val="center"/>
            </w:pPr>
            <w:r>
              <w:rPr>
                <w:sz w:val="24"/>
              </w:rPr>
              <w:t xml:space="preserve">Не менее 540</w:t>
            </w:r>
          </w:p>
        </w:tc>
      </w:tr>
      <w:tr>
        <w:tc>
          <w:tcPr>
            <w:tcW w:w="6292" w:type="dxa"/>
          </w:tcPr>
          <w:p>
            <w:pPr>
              <w:pStyle w:val="0"/>
            </w:pPr>
            <w:r>
              <w:rPr>
                <w:sz w:val="24"/>
              </w:rPr>
              <w:t xml:space="preserve">Практика</w:t>
            </w:r>
          </w:p>
        </w:tc>
        <w:tc>
          <w:tcPr>
            <w:tcW w:w="2777" w:type="dxa"/>
          </w:tcPr>
          <w:p>
            <w:pPr>
              <w:pStyle w:val="0"/>
              <w:jc w:val="center"/>
            </w:pPr>
            <w:r>
              <w:rPr>
                <w:sz w:val="24"/>
              </w:rPr>
              <w:t xml:space="preserve">Не менее 468</w:t>
            </w:r>
          </w:p>
        </w:tc>
      </w:tr>
      <w:tr>
        <w:tc>
          <w:tcPr>
            <w:tcW w:w="6292" w:type="dxa"/>
          </w:tcPr>
          <w:p>
            <w:pPr>
              <w:pStyle w:val="0"/>
            </w:pPr>
            <w:r>
              <w:rPr>
                <w:sz w:val="24"/>
              </w:rPr>
              <w:t xml:space="preserve">Государственная итоговая аттестация</w:t>
            </w:r>
          </w:p>
        </w:tc>
        <w:tc>
          <w:tcPr>
            <w:tcW w:w="2777" w:type="dxa"/>
          </w:tcPr>
          <w:p>
            <w:pPr>
              <w:pStyle w:val="0"/>
              <w:jc w:val="center"/>
            </w:pPr>
            <w:r>
              <w:rPr>
                <w:sz w:val="24"/>
              </w:rPr>
              <w:t xml:space="preserve">36</w:t>
            </w:r>
          </w:p>
        </w:tc>
      </w:tr>
      <w:tr>
        <w:tc>
          <w:tcPr>
            <w:gridSpan w:val="2"/>
            <w:tcW w:w="9069" w:type="dxa"/>
          </w:tcPr>
          <w:p>
            <w:pPr>
              <w:pStyle w:val="0"/>
              <w:jc w:val="center"/>
            </w:pPr>
            <w:r>
              <w:rPr>
                <w:sz w:val="24"/>
              </w:rPr>
              <w:t xml:space="preserve">Общий объем образовательной программы:</w:t>
            </w:r>
          </w:p>
        </w:tc>
      </w:tr>
      <w:tr>
        <w:tc>
          <w:tcPr>
            <w:tcW w:w="6292" w:type="dxa"/>
          </w:tcPr>
          <w:p>
            <w:pPr>
              <w:pStyle w:val="0"/>
            </w:pPr>
            <w:r>
              <w:rPr>
                <w:sz w:val="24"/>
              </w:rPr>
              <w:t xml:space="preserve">на базе среднего общего образования</w:t>
            </w:r>
          </w:p>
        </w:tc>
        <w:tc>
          <w:tcPr>
            <w:tcW w:w="2777" w:type="dxa"/>
          </w:tcPr>
          <w:p>
            <w:pPr>
              <w:pStyle w:val="0"/>
              <w:jc w:val="center"/>
            </w:pPr>
            <w:r>
              <w:rPr>
                <w:sz w:val="24"/>
              </w:rPr>
              <w:t xml:space="preserve">1476</w:t>
            </w:r>
          </w:p>
        </w:tc>
      </w:tr>
      <w:tr>
        <w:tblPrEx>
          <w:tblBorders>
            <w:insideH w:val="nil"/>
          </w:tblBorders>
        </w:tblPrEx>
        <w:tc>
          <w:tcPr>
            <w:tcW w:w="6292" w:type="dxa"/>
            <w:tcBorders>
              <w:bottom w:val="nil"/>
            </w:tcBorders>
          </w:tcPr>
          <w:p>
            <w:pPr>
              <w:pStyle w:val="0"/>
            </w:pPr>
            <w:r>
              <w:rPr>
                <w:sz w:val="24"/>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2777" w:type="dxa"/>
            <w:tcBorders>
              <w:bottom w:val="nil"/>
            </w:tcBorders>
          </w:tcPr>
          <w:p>
            <w:pPr>
              <w:pStyle w:val="0"/>
              <w:jc w:val="center"/>
            </w:pPr>
            <w:r>
              <w:rPr>
                <w:sz w:val="24"/>
              </w:rPr>
              <w:t xml:space="preserve">2952</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tc>
      </w:tr>
    </w:tbl>
    <w:p>
      <w:pPr>
        <w:pStyle w:val="0"/>
        <w:jc w:val="both"/>
      </w:pPr>
      <w:r>
        <w:rPr>
          <w:sz w:val="24"/>
        </w:rPr>
      </w:r>
    </w:p>
    <w:p>
      <w:pPr>
        <w:pStyle w:val="0"/>
        <w:ind w:firstLine="540"/>
        <w:jc w:val="both"/>
      </w:pPr>
      <w:r>
        <w:rPr>
          <w:sz w:val="24"/>
        </w:rPr>
        <w:t xml:space="preserve">2.2. Образовательная программа включает:</w:t>
      </w:r>
    </w:p>
    <w:p>
      <w:pPr>
        <w:pStyle w:val="0"/>
        <w:spacing w:before="240" w:lineRule="auto"/>
        <w:ind w:firstLine="540"/>
        <w:jc w:val="both"/>
      </w:pPr>
      <w:r>
        <w:rPr>
          <w:sz w:val="24"/>
        </w:rPr>
        <w:t xml:space="preserve">социально-гуманитарный цикл;</w:t>
      </w:r>
    </w:p>
    <w:p>
      <w:pPr>
        <w:pStyle w:val="0"/>
        <w:spacing w:before="240" w:lineRule="auto"/>
        <w:ind w:firstLine="540"/>
        <w:jc w:val="both"/>
      </w:pPr>
      <w:r>
        <w:rPr>
          <w:sz w:val="24"/>
        </w:rPr>
        <w:t xml:space="preserve">общепрофессиональный цикл;</w:t>
      </w:r>
    </w:p>
    <w:p>
      <w:pPr>
        <w:pStyle w:val="0"/>
        <w:spacing w:before="240" w:lineRule="auto"/>
        <w:ind w:firstLine="540"/>
        <w:jc w:val="both"/>
      </w:pPr>
      <w:r>
        <w:rPr>
          <w:sz w:val="24"/>
        </w:rPr>
        <w:t xml:space="preserve">профессиональный цикл.</w:t>
      </w:r>
    </w:p>
    <w:p>
      <w:pPr>
        <w:pStyle w:val="0"/>
        <w:spacing w:before="240" w:lineRule="auto"/>
        <w:ind w:firstLine="540"/>
        <w:jc w:val="both"/>
      </w:pPr>
      <w:r>
        <w:rPr>
          <w:sz w:val="24"/>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40" w:lineRule="auto"/>
        <w:ind w:firstLine="540"/>
        <w:jc w:val="both"/>
      </w:pPr>
      <w:r>
        <w:rPr>
          <w:sz w:val="24"/>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41" w:tooltip="III. ТРЕБОВАНИЯ К РЕЗУЛЬТАТАМ ОСВОЕНИЯ">
        <w:r>
          <w:rPr>
            <w:sz w:val="24"/>
            <w:color w:val="0000ff"/>
          </w:rPr>
          <w:t xml:space="preserve">главой III</w:t>
        </w:r>
      </w:hyperlink>
      <w:r>
        <w:rPr>
          <w:sz w:val="24"/>
        </w:rPr>
        <w:t xml:space="preserve"> ФГОС СПО.</w:t>
      </w:r>
    </w:p>
    <w:p>
      <w:pPr>
        <w:pStyle w:val="0"/>
        <w:spacing w:before="240" w:lineRule="auto"/>
        <w:ind w:firstLine="540"/>
        <w:jc w:val="both"/>
      </w:pPr>
      <w:r>
        <w:rPr>
          <w:sz w:val="24"/>
        </w:rPr>
        <w:t xml:space="preserve">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pPr>
        <w:pStyle w:val="0"/>
        <w:spacing w:before="240" w:lineRule="auto"/>
        <w:ind w:firstLine="540"/>
        <w:jc w:val="both"/>
      </w:pPr>
      <w:r>
        <w:rPr>
          <w:sz w:val="24"/>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4"/>
        </w:rPr>
        <w:t xml:space="preserve">(в ред. </w:t>
      </w:r>
      <w:hyperlink w:history="0"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bookmarkStart w:id="120" w:name="P120"/>
    <w:bookmarkEnd w:id="120"/>
    <w:p>
      <w:pPr>
        <w:pStyle w:val="0"/>
        <w:spacing w:before="240" w:lineRule="auto"/>
        <w:ind w:firstLine="540"/>
        <w:jc w:val="both"/>
      </w:pPr>
      <w:r>
        <w:rPr>
          <w:sz w:val="24"/>
        </w:rPr>
        <w:t xml:space="preserve">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w:t>
      </w:r>
    </w:p>
    <w:p>
      <w:pPr>
        <w:pStyle w:val="0"/>
        <w:spacing w:before="240" w:lineRule="auto"/>
        <w:ind w:firstLine="540"/>
        <w:jc w:val="both"/>
      </w:pPr>
      <w:r>
        <w:rPr>
          <w:sz w:val="24"/>
        </w:rPr>
        <w:t xml:space="preserve">выполнение работ по ремонту и наладке сельскохозяйственных машин и оборудования (по выбору);</w:t>
      </w:r>
    </w:p>
    <w:p>
      <w:pPr>
        <w:pStyle w:val="0"/>
        <w:spacing w:before="240" w:lineRule="auto"/>
        <w:ind w:firstLine="540"/>
        <w:jc w:val="both"/>
      </w:pPr>
      <w:r>
        <w:rPr>
          <w:sz w:val="24"/>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p>
      <w:pPr>
        <w:pStyle w:val="0"/>
        <w:jc w:val="both"/>
      </w:pPr>
      <w:r>
        <w:rPr>
          <w:sz w:val="24"/>
        </w:rPr>
        <w:t xml:space="preserve">(п. 2.4 в ред. </w:t>
      </w:r>
      <w:hyperlink w:history="0" r:id="rId3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пункте 2.4</w:t>
        </w:r>
      </w:hyperlink>
      <w:r>
        <w:rPr>
          <w:sz w:val="24"/>
        </w:rPr>
        <w:t xml:space="preserve"> ФГОС СПО, в рамках вариативной части.</w:t>
      </w:r>
    </w:p>
    <w:p>
      <w:pPr>
        <w:pStyle w:val="0"/>
        <w:spacing w:before="240" w:lineRule="auto"/>
        <w:ind w:firstLine="540"/>
        <w:jc w:val="both"/>
      </w:pPr>
      <w:r>
        <w:rPr>
          <w:sz w:val="24"/>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40" w:lineRule="auto"/>
        <w:ind w:firstLine="540"/>
        <w:jc w:val="both"/>
      </w:pPr>
      <w:r>
        <w:rPr>
          <w:sz w:val="24"/>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pPr>
        <w:pStyle w:val="0"/>
        <w:spacing w:before="240" w:lineRule="auto"/>
        <w:ind w:firstLine="540"/>
        <w:jc w:val="both"/>
      </w:pPr>
      <w:r>
        <w:rPr>
          <w:sz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40" w:lineRule="auto"/>
        <w:ind w:firstLine="540"/>
        <w:jc w:val="both"/>
      </w:pPr>
      <w:r>
        <w:rPr>
          <w:sz w:val="24"/>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pPr>
        <w:pStyle w:val="0"/>
        <w:spacing w:before="240" w:lineRule="auto"/>
        <w:ind w:firstLine="540"/>
        <w:jc w:val="both"/>
      </w:pPr>
      <w:r>
        <w:rPr>
          <w:sz w:val="24"/>
        </w:rPr>
        <w:t xml:space="preserve">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pPr>
        <w:pStyle w:val="0"/>
        <w:spacing w:before="240" w:lineRule="auto"/>
        <w:ind w:firstLine="540"/>
        <w:jc w:val="both"/>
      </w:pPr>
      <w:r>
        <w:rPr>
          <w:sz w:val="24"/>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pPr>
        <w:pStyle w:val="0"/>
        <w:spacing w:before="240" w:lineRule="auto"/>
        <w:ind w:firstLine="540"/>
        <w:jc w:val="both"/>
      </w:pPr>
      <w:r>
        <w:rPr>
          <w:sz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40" w:lineRule="auto"/>
        <w:ind w:firstLine="540"/>
        <w:jc w:val="both"/>
      </w:pPr>
      <w:r>
        <w:rPr>
          <w:sz w:val="24"/>
        </w:rPr>
        <w:t xml:space="preserve">2.8. Обязательная часть общепрофессионального цикла образовательной программы должна предусматривать изучение следующих дисциплин: "Основы инженерной графики" "Основы материаловедения и технология общеслесарных работ", "Техническая механика с основами технических измерений", "Основы электротехники", "Основы агрономии", "Основы зоотехники", "Основы микробиологии, санитарии и гигиены".</w:t>
      </w:r>
    </w:p>
    <w:p>
      <w:pPr>
        <w:pStyle w:val="0"/>
        <w:spacing w:before="240" w:lineRule="auto"/>
        <w:ind w:firstLine="540"/>
        <w:jc w:val="both"/>
      </w:pPr>
      <w:r>
        <w:rPr>
          <w:sz w:val="24"/>
        </w:rPr>
        <w:t xml:space="preserve">2.9. Профессиональный цикл образовательной программы включает профессиональные модули, которые формируются в соответствии с выбранными видами деятельности, предусмотренными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4 зачетных единиц.</w:t>
      </w:r>
    </w:p>
    <w:p>
      <w:pPr>
        <w:pStyle w:val="0"/>
        <w:jc w:val="both"/>
      </w:pPr>
      <w:r>
        <w:rPr>
          <w:sz w:val="24"/>
        </w:rPr>
        <w:t xml:space="preserve">(п. 2.9 в ред. </w:t>
      </w:r>
      <w:hyperlink w:history="0"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pPr>
        <w:pStyle w:val="0"/>
        <w:jc w:val="both"/>
      </w:pPr>
      <w:r>
        <w:rPr>
          <w:sz w:val="24"/>
        </w:rPr>
        <w:t xml:space="preserve">(в ред. </w:t>
      </w:r>
      <w:hyperlink w:history="0" r:id="rId3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40" w:lineRule="auto"/>
        <w:ind w:firstLine="540"/>
        <w:jc w:val="both"/>
      </w:pPr>
      <w:r>
        <w:rPr>
          <w:sz w:val="24"/>
        </w:rPr>
        <w:t xml:space="preserve">2.12. Государственная итоговая аттестация проводится в форме демонстрационного экзамена.</w:t>
      </w:r>
    </w:p>
    <w:p>
      <w:pPr>
        <w:pStyle w:val="0"/>
        <w:spacing w:before="240" w:lineRule="auto"/>
        <w:ind w:firstLine="540"/>
        <w:jc w:val="both"/>
      </w:pPr>
      <w:r>
        <w:rPr>
          <w:sz w:val="24"/>
        </w:rPr>
        <w:t xml:space="preserve">2.13. Государственная итоговая аттестация завершается присвоением квалификации квалифицированного рабочего, служащего, указанной в </w:t>
      </w:r>
      <w:hyperlink w:history="0" w:anchor="P46"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quot;Ма...">
        <w:r>
          <w:rPr>
            <w:sz w:val="24"/>
            <w:color w:val="0000ff"/>
          </w:rPr>
          <w:t xml:space="preserve">пункте 1.1</w:t>
        </w:r>
      </w:hyperlink>
      <w:r>
        <w:rPr>
          <w:sz w:val="24"/>
        </w:rPr>
        <w:t xml:space="preserve"> ФГОС СПО.</w:t>
      </w:r>
    </w:p>
    <w:p>
      <w:pPr>
        <w:pStyle w:val="0"/>
        <w:jc w:val="both"/>
      </w:pPr>
      <w:r>
        <w:rPr>
          <w:sz w:val="24"/>
        </w:rPr>
      </w:r>
    </w:p>
    <w:bookmarkStart w:id="141" w:name="P141"/>
    <w:bookmarkEnd w:id="141"/>
    <w:p>
      <w:pPr>
        <w:pStyle w:val="2"/>
        <w:outlineLvl w:val="1"/>
        <w:jc w:val="center"/>
      </w:pPr>
      <w:r>
        <w:rPr>
          <w:sz w:val="24"/>
        </w:rPr>
        <w:t xml:space="preserve">III. ТРЕБОВАНИЯ К РЕЗУЛЬТАТАМ ОСВОЕНИЯ</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40" w:lineRule="auto"/>
        <w:ind w:firstLine="540"/>
        <w:jc w:val="both"/>
      </w:pPr>
      <w:r>
        <w:rPr>
          <w:sz w:val="24"/>
        </w:rPr>
        <w:t xml:space="preserve">3.2. Выпускник, освоивший образовательную программу, должен обладать следующими общими компетенциями (далее - ОК):</w:t>
      </w:r>
    </w:p>
    <w:p>
      <w:pPr>
        <w:pStyle w:val="0"/>
        <w:spacing w:before="240" w:lineRule="auto"/>
        <w:ind w:firstLine="540"/>
        <w:jc w:val="both"/>
      </w:pPr>
      <w:r>
        <w:rPr>
          <w:sz w:val="24"/>
        </w:rPr>
        <w:t xml:space="preserve">ОК 01. Выбирать способы решения задач профессиональной деятельности применительно к различным контекстам;</w:t>
      </w:r>
    </w:p>
    <w:p>
      <w:pPr>
        <w:pStyle w:val="0"/>
        <w:spacing w:before="240" w:lineRule="auto"/>
        <w:ind w:firstLine="540"/>
        <w:jc w:val="both"/>
      </w:pPr>
      <w:r>
        <w:rPr>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40" w:lineRule="auto"/>
        <w:ind w:firstLine="540"/>
        <w:jc w:val="both"/>
      </w:pPr>
      <w:r>
        <w:rPr>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4"/>
        </w:rPr>
        <w:t xml:space="preserve">(в ред.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04. Эффективно взаимодействовать и работать в коллективе и команде;</w:t>
      </w:r>
    </w:p>
    <w:p>
      <w:pPr>
        <w:pStyle w:val="0"/>
        <w:spacing w:before="240" w:lineRule="auto"/>
        <w:ind w:firstLine="540"/>
        <w:jc w:val="both"/>
      </w:pPr>
      <w:r>
        <w:rPr>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40" w:lineRule="auto"/>
        <w:ind w:firstLine="540"/>
        <w:jc w:val="both"/>
      </w:pPr>
      <w:r>
        <w:rPr>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4"/>
        </w:rPr>
        <w:t xml:space="preserve">(в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40" w:lineRule="auto"/>
        <w:ind w:firstLine="540"/>
        <w:jc w:val="both"/>
      </w:pPr>
      <w:r>
        <w:rPr>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40" w:lineRule="auto"/>
        <w:ind w:firstLine="540"/>
        <w:jc w:val="both"/>
      </w:pPr>
      <w:r>
        <w:rPr>
          <w:sz w:val="24"/>
        </w:rPr>
        <w:t xml:space="preserve">ОК 09. Пользоваться профессиональной документацией на государственном и иностранном языках.</w:t>
      </w:r>
    </w:p>
    <w:p>
      <w:pPr>
        <w:pStyle w:val="0"/>
        <w:spacing w:before="240" w:lineRule="auto"/>
        <w:ind w:firstLine="540"/>
        <w:jc w:val="both"/>
      </w:pPr>
      <w:r>
        <w:rPr>
          <w:sz w:val="24"/>
        </w:rPr>
        <w:t xml:space="preserve">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(Таблица N 2), предусмотренным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сформированными в том числе на основе профессиональных стандартов (при наличии), указанных в ПОП:</w:t>
      </w:r>
    </w:p>
    <w:p>
      <w:pPr>
        <w:pStyle w:val="0"/>
        <w:jc w:val="both"/>
      </w:pPr>
      <w:r>
        <w:rPr>
          <w:sz w:val="24"/>
        </w:rPr>
      </w:r>
    </w:p>
    <w:p>
      <w:pPr>
        <w:pStyle w:val="0"/>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7"/>
        <w:gridCol w:w="6009"/>
      </w:tblGrid>
      <w:tr>
        <w:tc>
          <w:tcPr>
            <w:tcW w:w="3067" w:type="dxa"/>
          </w:tcPr>
          <w:p>
            <w:pPr>
              <w:pStyle w:val="0"/>
              <w:jc w:val="center"/>
            </w:pPr>
            <w:r>
              <w:rPr>
                <w:sz w:val="24"/>
              </w:rPr>
              <w:t xml:space="preserve">Виды деятельности</w:t>
            </w:r>
          </w:p>
        </w:tc>
        <w:tc>
          <w:tcPr>
            <w:tcW w:w="6009" w:type="dxa"/>
          </w:tcPr>
          <w:p>
            <w:pPr>
              <w:pStyle w:val="0"/>
              <w:jc w:val="center"/>
            </w:pPr>
            <w:r>
              <w:rPr>
                <w:sz w:val="24"/>
              </w:rPr>
              <w:t xml:space="preserve">Профессиональные компетенции, соответствующие видам деятельности</w:t>
            </w:r>
          </w:p>
        </w:tc>
      </w:tr>
      <w:tr>
        <w:tc>
          <w:tcPr>
            <w:tcW w:w="3067" w:type="dxa"/>
          </w:tcPr>
          <w:p>
            <w:pPr>
              <w:pStyle w:val="0"/>
            </w:pPr>
            <w:r>
              <w:rPr>
                <w:sz w:val="24"/>
              </w:rPr>
              <w:t xml:space="preserve">выполнение работ по ремонту и наладке сельскохозяйственных машин и оборудования (по выбору)</w:t>
            </w:r>
          </w:p>
        </w:tc>
        <w:tc>
          <w:tcPr>
            <w:tcW w:w="6009" w:type="dxa"/>
          </w:tcPr>
          <w:p>
            <w:pPr>
              <w:pStyle w:val="0"/>
              <w:jc w:val="both"/>
            </w:pPr>
            <w:r>
              <w:rPr>
                <w:sz w:val="24"/>
              </w:rPr>
              <w:t xml:space="preserve">ПК 1.1. Выполнять работы по разборке (сборке), монтажу (демонтажу) сельскохозяйственных машин и оборудования.</w:t>
            </w:r>
          </w:p>
          <w:p>
            <w:pPr>
              <w:pStyle w:val="0"/>
              <w:jc w:val="both"/>
            </w:pPr>
            <w:r>
              <w:rPr>
                <w:sz w:val="24"/>
              </w:rPr>
              <w:t xml:space="preserve">ПК 1.2. Производить ремонт узлов и механизмов сельскохозяйственных машин и оборудования.</w:t>
            </w:r>
          </w:p>
          <w:p>
            <w:pPr>
              <w:pStyle w:val="0"/>
              <w:jc w:val="both"/>
            </w:pPr>
            <w:r>
              <w:rPr>
                <w:sz w:val="24"/>
              </w:rPr>
              <w:t xml:space="preserve">ПК 1.3. Производить восстановление деталей сельскохозяйственных машин и оборудования.</w:t>
            </w:r>
          </w:p>
          <w:p>
            <w:pPr>
              <w:pStyle w:val="0"/>
              <w:jc w:val="both"/>
            </w:pPr>
            <w:r>
              <w:rPr>
                <w:sz w:val="24"/>
              </w:rPr>
              <w:t xml:space="preserve">ПК 1.4. Выполнять стендовую обкатку, испытание, регулирование отремонтированных сельскохозяйственных машин и оборудования.</w:t>
            </w:r>
          </w:p>
          <w:p>
            <w:pPr>
              <w:pStyle w:val="0"/>
              <w:jc w:val="both"/>
            </w:pPr>
            <w:r>
              <w:rPr>
                <w:sz w:val="24"/>
              </w:rPr>
              <w:t xml:space="preserve">ПК 1.5. Выполнять наладку сельскохозяйственных машин и оборудования.</w:t>
            </w:r>
          </w:p>
        </w:tc>
      </w:tr>
      <w:tr>
        <w:tc>
          <w:tcPr>
            <w:tcW w:w="3067" w:type="dxa"/>
          </w:tcPr>
          <w:p>
            <w:pPr>
              <w:pStyle w:val="0"/>
            </w:pPr>
            <w:r>
              <w:rPr>
                <w:sz w:val="24"/>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6009" w:type="dxa"/>
          </w:tcPr>
          <w:p>
            <w:pPr>
              <w:pStyle w:val="0"/>
              <w:jc w:val="both"/>
            </w:pPr>
            <w:r>
              <w:rPr>
                <w:sz w:val="24"/>
              </w:rPr>
              <w:t xml:space="preserve">ПК 1.1. Выполнять основную обработку и предпосевную подготовку почвы с заданными агротехническими требованиями.</w:t>
            </w:r>
          </w:p>
          <w:p>
            <w:pPr>
              <w:pStyle w:val="0"/>
              <w:jc w:val="both"/>
            </w:pPr>
            <w:r>
              <w:rPr>
                <w:sz w:val="24"/>
              </w:rPr>
              <w:t xml:space="preserve">ПК 1.2. Вносить удобрения с заданными агротехническими требованиями.</w:t>
            </w:r>
          </w:p>
          <w:p>
            <w:pPr>
              <w:pStyle w:val="0"/>
              <w:jc w:val="both"/>
            </w:pPr>
            <w:r>
              <w:rPr>
                <w:sz w:val="24"/>
              </w:rPr>
              <w:t xml:space="preserve">ПК 1.3. Выполнять механизированные работы по посеву, посадке и уходу за сельскохозяйственными культурами.</w:t>
            </w:r>
          </w:p>
          <w:p>
            <w:pPr>
              <w:pStyle w:val="0"/>
              <w:jc w:val="both"/>
            </w:pPr>
            <w:r>
              <w:rPr>
                <w:sz w:val="24"/>
              </w:rPr>
              <w:t xml:space="preserve">ПК 1.4. Выполнять уборочные работы с заданными агротехническими требованиями.</w:t>
            </w:r>
          </w:p>
          <w:p>
            <w:pPr>
              <w:pStyle w:val="0"/>
              <w:jc w:val="both"/>
            </w:pPr>
            <w:r>
              <w:rPr>
                <w:sz w:val="24"/>
              </w:rPr>
              <w:t xml:space="preserve">ПК 1.5. Выполнять погрузочно-разгрузочные, транспортные и стационарные работы на тракторах.</w:t>
            </w:r>
          </w:p>
          <w:p>
            <w:pPr>
              <w:pStyle w:val="0"/>
              <w:jc w:val="both"/>
            </w:pPr>
            <w:r>
              <w:rPr>
                <w:sz w:val="24"/>
              </w:rPr>
              <w:t xml:space="preserve">ПК 1.6. Выполнять мелиоративные работы.</w:t>
            </w:r>
          </w:p>
          <w:p>
            <w:pPr>
              <w:pStyle w:val="0"/>
              <w:jc w:val="both"/>
            </w:pPr>
            <w:r>
              <w:rPr>
                <w:sz w:val="24"/>
              </w:rPr>
              <w:t xml:space="preserve">ПК 1.7. Выполнять механизированные работы по разгрузке и раздаче кормов животным, уборке навоза и отходов животноводства.</w:t>
            </w:r>
          </w:p>
          <w:p>
            <w:pPr>
              <w:pStyle w:val="0"/>
              <w:jc w:val="both"/>
            </w:pPr>
            <w:r>
              <w:rPr>
                <w:sz w:val="24"/>
              </w:rPr>
              <w:t xml:space="preserve">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самоходные сельскохозяйственные машины горюче-смазочными материалами.</w:t>
            </w:r>
          </w:p>
        </w:tc>
      </w:tr>
    </w:tbl>
    <w:p>
      <w:pPr>
        <w:pStyle w:val="0"/>
        <w:jc w:val="both"/>
      </w:pPr>
      <w:r>
        <w:rPr>
          <w:sz w:val="24"/>
        </w:rPr>
      </w:r>
    </w:p>
    <w:p>
      <w:pPr>
        <w:pStyle w:val="0"/>
        <w:jc w:val="both"/>
      </w:pPr>
      <w:r>
        <w:rPr>
          <w:sz w:val="24"/>
        </w:rPr>
        <w:t xml:space="preserve">(п. 3.3 в ред. </w:t>
      </w:r>
      <w:hyperlink w:history="0"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ind w:firstLine="540"/>
        <w:jc w:val="both"/>
      </w:pPr>
      <w:r>
        <w:rPr>
          <w:sz w:val="24"/>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pPr>
        <w:pStyle w:val="0"/>
        <w:spacing w:before="240" w:lineRule="auto"/>
        <w:ind w:firstLine="540"/>
        <w:jc w:val="both"/>
      </w:pPr>
      <w:r>
        <w:rPr>
          <w:sz w:val="24"/>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pPr>
        <w:pStyle w:val="0"/>
        <w:spacing w:before="240" w:lineRule="auto"/>
        <w:ind w:firstLine="540"/>
        <w:jc w:val="both"/>
      </w:pPr>
      <w:r>
        <w:rPr>
          <w:sz w:val="24"/>
        </w:rPr>
        <w:t xml:space="preserve">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jc w:val="both"/>
      </w:pPr>
      <w:r>
        <w:rPr>
          <w:sz w:val="24"/>
        </w:rPr>
        <w:t xml:space="preserve">(в ред. </w:t>
      </w:r>
      <w:hyperlink w:history="0" r:id="rId4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40" w:lineRule="auto"/>
        <w:ind w:firstLine="540"/>
        <w:jc w:val="both"/>
      </w:pPr>
      <w:r>
        <w:rPr>
          <w:sz w:val="24"/>
        </w:rPr>
        <w:t xml:space="preserve">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4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Часть 7 статьи 73</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4"/>
        </w:rPr>
      </w:r>
    </w:p>
    <w:p>
      <w:pPr>
        <w:pStyle w:val="2"/>
        <w:outlineLvl w:val="1"/>
        <w:jc w:val="center"/>
      </w:pPr>
      <w:r>
        <w:rPr>
          <w:sz w:val="24"/>
        </w:rPr>
        <w:t xml:space="preserve">IV. ТРЕБОВАНИЯ К УСЛОВИЯМ РЕАЛИЗАЦИИ</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Федеральный </w:t>
      </w:r>
      <w:hyperlink w:history="0" r:id="rId43" w:tooltip="Федеральный закон от 30.03.1999 N 52-ФЗ (ред. от 26.12.2024) &quot;О санитарно-эпидемиологическом благополучии населения&quot; (с изм. и доп., вступ. в силу с 01.09.2025) ------------ Недействующая редакция {КонсультантПлюс}">
        <w:r>
          <w:rPr>
            <w:sz w:val="24"/>
            <w:color w:val="0000ff"/>
          </w:rPr>
          <w:t xml:space="preserve">закон</w:t>
        </w:r>
      </w:hyperlink>
      <w:r>
        <w:rPr>
          <w:sz w:val="24"/>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w:t>
      </w:r>
    </w:p>
    <w:p>
      <w:pPr>
        <w:pStyle w:val="0"/>
        <w:spacing w:before="240" w:lineRule="auto"/>
        <w:ind w:firstLine="540"/>
        <w:jc w:val="both"/>
      </w:pPr>
      <w:r>
        <w:rPr>
          <w:sz w:val="24"/>
        </w:rPr>
        <w:t xml:space="preserve">санитарные </w:t>
      </w:r>
      <w:hyperlink w:history="0" r:id="rId4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правила</w:t>
        </w:r>
      </w:hyperlink>
      <w:r>
        <w:rPr>
          <w:sz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
    <w:p>
      <w:pPr>
        <w:pStyle w:val="0"/>
        <w:spacing w:before="240" w:lineRule="auto"/>
        <w:ind w:firstLine="540"/>
        <w:jc w:val="both"/>
      </w:pPr>
      <w:r>
        <w:rPr>
          <w:sz w:val="24"/>
        </w:rPr>
        <w:t xml:space="preserve">санитарно-эпидемиологические правила и нормы </w:t>
      </w:r>
      <w:hyperlink w:history="0" r:id="rId45"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spacing w:before="240" w:lineRule="auto"/>
        <w:ind w:firstLine="540"/>
        <w:jc w:val="both"/>
      </w:pPr>
      <w:r>
        <w:rPr>
          <w:sz w:val="24"/>
        </w:rPr>
        <w:t xml:space="preserve">санитарные правила и нормы </w:t>
      </w:r>
      <w:hyperlink w:history="0" r:id="rId4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 Недействующая редакция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4"/>
        </w:rPr>
      </w:r>
    </w:p>
    <w:p>
      <w:pPr>
        <w:pStyle w:val="0"/>
        <w:ind w:firstLine="540"/>
        <w:jc w:val="both"/>
      </w:pPr>
      <w:r>
        <w:rPr>
          <w:sz w:val="24"/>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40" w:lineRule="auto"/>
        <w:ind w:firstLine="540"/>
        <w:jc w:val="both"/>
      </w:pPr>
      <w:r>
        <w:rPr>
          <w:sz w:val="24"/>
        </w:rPr>
        <w:t xml:space="preserve">4.3. Общесистемные требования к условиям реализации образовательной программы:</w:t>
      </w:r>
    </w:p>
    <w:p>
      <w:pPr>
        <w:pStyle w:val="0"/>
        <w:spacing w:before="240" w:lineRule="auto"/>
        <w:ind w:firstLine="540"/>
        <w:jc w:val="both"/>
      </w:pPr>
      <w:r>
        <w:rPr>
          <w:sz w:val="24"/>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pPr>
        <w:pStyle w:val="0"/>
        <w:jc w:val="both"/>
      </w:pPr>
      <w:r>
        <w:rPr>
          <w:sz w:val="24"/>
        </w:rPr>
        <w:t xml:space="preserve">(в ред. </w:t>
      </w:r>
      <w:hyperlink w:history="0" r:id="rId4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40" w:lineRule="auto"/>
        <w:ind w:firstLine="540"/>
        <w:jc w:val="both"/>
      </w:pPr>
      <w:r>
        <w:rPr>
          <w:sz w:val="24"/>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40" w:lineRule="auto"/>
        <w:ind w:firstLine="540"/>
        <w:jc w:val="both"/>
      </w:pPr>
      <w:r>
        <w:rPr>
          <w:sz w:val="24"/>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40" w:lineRule="auto"/>
        <w:ind w:firstLine="540"/>
        <w:jc w:val="both"/>
      </w:pPr>
      <w:r>
        <w:rPr>
          <w:sz w:val="24"/>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40" w:lineRule="auto"/>
        <w:ind w:firstLine="540"/>
        <w:jc w:val="both"/>
      </w:pPr>
      <w:r>
        <w:rPr>
          <w:sz w:val="24"/>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40" w:lineRule="auto"/>
        <w:ind w:firstLine="540"/>
        <w:jc w:val="both"/>
      </w:pPr>
      <w:r>
        <w:rPr>
          <w:sz w:val="24"/>
        </w:rPr>
        <w:t xml:space="preserve">г) допускается замена оборудования его виртуальными аналогами;</w:t>
      </w:r>
    </w:p>
    <w:p>
      <w:pPr>
        <w:pStyle w:val="0"/>
        <w:spacing w:before="240" w:lineRule="auto"/>
        <w:ind w:firstLine="540"/>
        <w:jc w:val="both"/>
      </w:pPr>
      <w:r>
        <w:rPr>
          <w:sz w:val="24"/>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40" w:lineRule="auto"/>
        <w:ind w:firstLine="540"/>
        <w:jc w:val="both"/>
      </w:pPr>
      <w:r>
        <w:rPr>
          <w:sz w:val="24"/>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40" w:lineRule="auto"/>
        <w:ind w:firstLine="540"/>
        <w:jc w:val="both"/>
      </w:pPr>
      <w:r>
        <w:rPr>
          <w:sz w:val="24"/>
        </w:rPr>
        <w:t xml:space="preserve">ж) 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4"/>
        </w:rPr>
        <w:t xml:space="preserve">(в ред. </w:t>
      </w:r>
      <w:hyperlink w:history="0" r:id="rId4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40" w:lineRule="auto"/>
        <w:ind w:firstLine="540"/>
        <w:jc w:val="both"/>
      </w:pPr>
      <w:r>
        <w:rPr>
          <w:sz w:val="24"/>
        </w:rPr>
        <w:t xml:space="preserve">и) обучающимся должен быть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40" w:lineRule="auto"/>
        <w:ind w:firstLine="540"/>
        <w:jc w:val="both"/>
      </w:pPr>
      <w:r>
        <w:rPr>
          <w:sz w:val="24"/>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40" w:lineRule="auto"/>
        <w:ind w:firstLine="540"/>
        <w:jc w:val="both"/>
      </w:pPr>
      <w:r>
        <w:rPr>
          <w:sz w:val="24"/>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pPr>
        <w:pStyle w:val="0"/>
        <w:spacing w:before="240" w:lineRule="auto"/>
        <w:ind w:firstLine="540"/>
        <w:jc w:val="both"/>
      </w:pPr>
      <w:r>
        <w:rPr>
          <w:sz w:val="24"/>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4"/>
        </w:rPr>
        <w:t xml:space="preserve">(в ред. </w:t>
      </w:r>
      <w:hyperlink w:history="0" r:id="rId4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4.5. Требования к кадровым условиям реализации образовательной программы:</w:t>
      </w:r>
    </w:p>
    <w:p>
      <w:pPr>
        <w:pStyle w:val="0"/>
        <w:spacing w:before="240" w:lineRule="auto"/>
        <w:ind w:firstLine="540"/>
        <w:jc w:val="both"/>
      </w:pPr>
      <w:r>
        <w:rPr>
          <w:sz w:val="24"/>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(имеющих стаж работы в данной профессиональной области не менее трех лет);</w:t>
      </w:r>
    </w:p>
    <w:p>
      <w:pPr>
        <w:pStyle w:val="0"/>
        <w:spacing w:before="240" w:lineRule="auto"/>
        <w:ind w:firstLine="540"/>
        <w:jc w:val="both"/>
      </w:pPr>
      <w:r>
        <w:rPr>
          <w:sz w:val="24"/>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40" w:lineRule="auto"/>
        <w:ind w:firstLine="540"/>
        <w:jc w:val="both"/>
      </w:pPr>
      <w:r>
        <w:rPr>
          <w:sz w:val="24"/>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40" w:lineRule="auto"/>
        <w:ind w:firstLine="540"/>
        <w:jc w:val="both"/>
      </w:pPr>
      <w:r>
        <w:rPr>
          <w:sz w:val="24"/>
        </w:rPr>
        <w:t xml:space="preserve">4.6. Требование к финансовым условиям реализации образовательной программы:</w:t>
      </w:r>
    </w:p>
    <w:p>
      <w:pPr>
        <w:pStyle w:val="0"/>
        <w:spacing w:before="240" w:lineRule="auto"/>
        <w:ind w:firstLine="540"/>
        <w:jc w:val="both"/>
      </w:pPr>
      <w:r>
        <w:rPr>
          <w:sz w:val="24"/>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w:t>
      </w:r>
      <w:hyperlink w:history="0" r:id="rId50"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29 декабря 2012 г. N 273-ФЗ "Об образовании в Российской Федерации".</w:t>
      </w:r>
    </w:p>
    <w:p>
      <w:pPr>
        <w:pStyle w:val="0"/>
        <w:jc w:val="both"/>
      </w:pPr>
      <w:r>
        <w:rPr>
          <w:sz w:val="24"/>
        </w:rPr>
        <w:t xml:space="preserve">(п. 4.6 в ред. </w:t>
      </w:r>
      <w:hyperlink w:history="0" r:id="rId5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Бюджетный </w:t>
      </w:r>
      <w:hyperlink w:history="0" r:id="rId52"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w:t>
      </w:r>
    </w:p>
    <w:p>
      <w:pPr>
        <w:pStyle w:val="0"/>
        <w:ind w:firstLine="540"/>
        <w:jc w:val="both"/>
      </w:pPr>
      <w:r>
        <w:rPr>
          <w:sz w:val="24"/>
        </w:rPr>
      </w:r>
    </w:p>
    <w:p>
      <w:pPr>
        <w:pStyle w:val="0"/>
        <w:ind w:firstLine="540"/>
        <w:jc w:val="both"/>
      </w:pPr>
      <w:r>
        <w:rPr>
          <w:sz w:val="24"/>
        </w:rPr>
        <w:t xml:space="preserve">4.7. Требования к применяемым механизмам оценки качества образовательной программы:</w:t>
      </w:r>
    </w:p>
    <w:p>
      <w:pPr>
        <w:pStyle w:val="0"/>
        <w:spacing w:before="240" w:lineRule="auto"/>
        <w:ind w:firstLine="540"/>
        <w:jc w:val="both"/>
      </w:pPr>
      <w:r>
        <w:rPr>
          <w:sz w:val="24"/>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40" w:lineRule="auto"/>
        <w:ind w:firstLine="540"/>
        <w:jc w:val="both"/>
      </w:pPr>
      <w:r>
        <w:rPr>
          <w:sz w:val="24"/>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40" w:lineRule="auto"/>
        <w:ind w:firstLine="540"/>
        <w:jc w:val="both"/>
      </w:pPr>
      <w:r>
        <w:rPr>
          <w:sz w:val="24"/>
        </w:rPr>
        <w:t xml:space="preserve">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4"/>
        </w:rPr>
        <w:t xml:space="preserve">(пп. "в" в ред. </w:t>
      </w:r>
      <w:hyperlink w:history="0" r:id="rId5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24.05.2022 N 355</w:t>
            <w:br/>
            <w:t>(ред. от 27.03.2025)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3090&amp;date=04.03.2026&amp;dst=110272&amp;field=134" TargetMode = "External"/><Relationship Id="rId9" Type="http://schemas.openxmlformats.org/officeDocument/2006/relationships/hyperlink" Target="https://login.consultant.ru/link/?req=doc&amp;base=LAW&amp;n=504361&amp;date=04.03.2026&amp;dst=100354&amp;field=134" TargetMode = "External"/><Relationship Id="rId10" Type="http://schemas.openxmlformats.org/officeDocument/2006/relationships/hyperlink" Target="https://login.consultant.ru/link/?req=doc&amp;base=LAW&amp;n=499281&amp;date=04.03.2026&amp;dst=100051&amp;field=134" TargetMode = "External"/><Relationship Id="rId11" Type="http://schemas.openxmlformats.org/officeDocument/2006/relationships/hyperlink" Target="https://login.consultant.ru/link/?req=doc&amp;base=LAW&amp;n=481262&amp;date=04.03.2026&amp;dst=100072&amp;field=134" TargetMode = "External"/><Relationship Id="rId12" Type="http://schemas.openxmlformats.org/officeDocument/2006/relationships/hyperlink" Target="https://login.consultant.ru/link/?req=doc&amp;base=LAW&amp;n=398541&amp;date=04.03.2026&amp;dst=100012&amp;field=134" TargetMode = "External"/><Relationship Id="rId13" Type="http://schemas.openxmlformats.org/officeDocument/2006/relationships/hyperlink" Target="https://login.consultant.ru/link/?req=doc&amp;base=LAW&amp;n=127684&amp;date=04.03.2026&amp;dst=100089&amp;field=134" TargetMode = "External"/><Relationship Id="rId14" Type="http://schemas.openxmlformats.org/officeDocument/2006/relationships/hyperlink" Target="https://login.consultant.ru/link/?req=doc&amp;base=LAW&amp;n=398569&amp;date=04.03.2026&amp;dst=100012&amp;field=134" TargetMode = "External"/><Relationship Id="rId15" Type="http://schemas.openxmlformats.org/officeDocument/2006/relationships/hyperlink" Target="https://login.consultant.ru/link/?req=doc&amp;base=LAW&amp;n=127684&amp;date=04.03.2026&amp;dst=100087&amp;field=134" TargetMode = "External"/><Relationship Id="rId16" Type="http://schemas.openxmlformats.org/officeDocument/2006/relationships/hyperlink" Target="https://login.consultant.ru/link/?req=doc&amp;base=LAW&amp;n=398450&amp;date=04.03.2026&amp;dst=100012&amp;field=134" TargetMode = "External"/><Relationship Id="rId17" Type="http://schemas.openxmlformats.org/officeDocument/2006/relationships/hyperlink" Target="https://login.consultant.ru/link/?req=doc&amp;base=LAW&amp;n=127684&amp;date=04.03.2026&amp;dst=100086&amp;field=134" TargetMode = "External"/><Relationship Id="rId18" Type="http://schemas.openxmlformats.org/officeDocument/2006/relationships/hyperlink" Target="https://login.consultant.ru/link/?req=doc&amp;base=LAW&amp;n=516823&amp;date=04.03.2026&amp;dst=100455&amp;field=134" TargetMode = "External"/><Relationship Id="rId19" Type="http://schemas.openxmlformats.org/officeDocument/2006/relationships/hyperlink" Target="https://login.consultant.ru/link/?req=doc&amp;base=LAW&amp;n=411930&amp;date=04.03.2026" TargetMode = "External"/><Relationship Id="rId20" Type="http://schemas.openxmlformats.org/officeDocument/2006/relationships/hyperlink" Target="https://login.consultant.ru/link/?req=doc&amp;base=LAW&amp;n=483090&amp;date=04.03.2026&amp;dst=110272&amp;field=134" TargetMode = "External"/><Relationship Id="rId21" Type="http://schemas.openxmlformats.org/officeDocument/2006/relationships/hyperlink" Target="https://login.consultant.ru/link/?req=doc&amp;base=LAW&amp;n=504361&amp;date=04.03.2026&amp;dst=100354&amp;field=134" TargetMode = "External"/><Relationship Id="rId22" Type="http://schemas.openxmlformats.org/officeDocument/2006/relationships/hyperlink" Target="https://login.consultant.ru/link/?req=doc&amp;base=LAW&amp;n=483090&amp;date=04.03.2026&amp;dst=110273&amp;field=134" TargetMode = "External"/><Relationship Id="rId23" Type="http://schemas.openxmlformats.org/officeDocument/2006/relationships/hyperlink" Target="https://login.consultant.ru/link/?req=doc&amp;base=LAW&amp;n=501142&amp;date=04.03.2026&amp;dst=4&amp;field=134" TargetMode = "External"/><Relationship Id="rId24" Type="http://schemas.openxmlformats.org/officeDocument/2006/relationships/hyperlink" Target="https://login.consultant.ru/link/?req=doc&amp;base=LAW&amp;n=483090&amp;date=04.03.2026&amp;dst=110274&amp;field=134" TargetMode = "External"/><Relationship Id="rId25" Type="http://schemas.openxmlformats.org/officeDocument/2006/relationships/hyperlink" Target="https://login.consultant.ru/link/?req=doc&amp;base=LAW&amp;n=483090&amp;date=04.03.2026&amp;dst=110275&amp;field=134" TargetMode = "External"/><Relationship Id="rId26" Type="http://schemas.openxmlformats.org/officeDocument/2006/relationships/hyperlink" Target="https://login.consultant.ru/link/?req=doc&amp;base=LAW&amp;n=510818&amp;date=04.03.2026&amp;dst=446&amp;field=134" TargetMode = "External"/><Relationship Id="rId27" Type="http://schemas.openxmlformats.org/officeDocument/2006/relationships/hyperlink" Target="https://login.consultant.ru/link/?req=doc&amp;base=LAW&amp;n=510818&amp;date=04.03.2026&amp;dst=100249&amp;field=134" TargetMode = "External"/><Relationship Id="rId28" Type="http://schemas.openxmlformats.org/officeDocument/2006/relationships/hyperlink" Target="https://login.consultant.ru/link/?req=doc&amp;base=LAW&amp;n=115476&amp;date=04.03.2026&amp;dst=100008&amp;field=134" TargetMode = "External"/><Relationship Id="rId29" Type="http://schemas.openxmlformats.org/officeDocument/2006/relationships/hyperlink" Target="https://login.consultant.ru/link/?req=doc&amp;base=LAW&amp;n=504361&amp;date=04.03.2026&amp;dst=100354&amp;field=134" TargetMode = "External"/><Relationship Id="rId30" Type="http://schemas.openxmlformats.org/officeDocument/2006/relationships/hyperlink" Target="https://login.consultant.ru/link/?req=doc&amp;base=LAW&amp;n=214720&amp;date=04.03.2026&amp;dst=100074&amp;field=134" TargetMode = "External"/><Relationship Id="rId31" Type="http://schemas.openxmlformats.org/officeDocument/2006/relationships/hyperlink" Target="https://login.consultant.ru/link/?req=doc&amp;base=LAW&amp;n=214720&amp;date=04.03.2026&amp;dst=100047&amp;field=134" TargetMode = "External"/><Relationship Id="rId32" Type="http://schemas.openxmlformats.org/officeDocument/2006/relationships/hyperlink" Target="https://login.consultant.ru/link/?req=doc&amp;base=LAW&amp;n=483090&amp;date=04.03.2026&amp;dst=110276&amp;field=134" TargetMode = "External"/><Relationship Id="rId33" Type="http://schemas.openxmlformats.org/officeDocument/2006/relationships/hyperlink" Target="https://login.consultant.ru/link/?req=doc&amp;base=LAW&amp;n=483090&amp;date=04.03.2026&amp;dst=110278&amp;field=134" TargetMode = "External"/><Relationship Id="rId34" Type="http://schemas.openxmlformats.org/officeDocument/2006/relationships/hyperlink" Target="https://login.consultant.ru/link/?req=doc&amp;base=LAW&amp;n=483090&amp;date=04.03.2026&amp;dst=110288&amp;field=134" TargetMode = "External"/><Relationship Id="rId35" Type="http://schemas.openxmlformats.org/officeDocument/2006/relationships/hyperlink" Target="https://login.consultant.ru/link/?req=doc&amp;base=LAW&amp;n=483090&amp;date=04.03.2026&amp;dst=110289&amp;field=134" TargetMode = "External"/><Relationship Id="rId36" Type="http://schemas.openxmlformats.org/officeDocument/2006/relationships/hyperlink" Target="https://login.consultant.ru/link/?req=doc&amp;base=LAW&amp;n=483090&amp;date=04.03.2026&amp;dst=110293&amp;field=134" TargetMode = "External"/><Relationship Id="rId37" Type="http://schemas.openxmlformats.org/officeDocument/2006/relationships/hyperlink" Target="https://login.consultant.ru/link/?req=doc&amp;base=LAW&amp;n=483090&amp;date=04.03.2026&amp;dst=110295&amp;field=134" TargetMode = "External"/><Relationship Id="rId38" Type="http://schemas.openxmlformats.org/officeDocument/2006/relationships/hyperlink" Target="https://login.consultant.ru/link/?req=doc&amp;base=LAW&amp;n=483090&amp;date=04.03.2026&amp;dst=110297&amp;field=134" TargetMode = "External"/><Relationship Id="rId39" Type="http://schemas.openxmlformats.org/officeDocument/2006/relationships/hyperlink" Target="https://login.consultant.ru/link/?req=doc&amp;base=LAW&amp;n=483090&amp;date=04.03.2026&amp;dst=110298&amp;field=134" TargetMode = "External"/><Relationship Id="rId40" Type="http://schemas.openxmlformats.org/officeDocument/2006/relationships/hyperlink" Target="https://login.consultant.ru/link/?req=doc&amp;base=LAW&amp;n=483090&amp;date=04.03.2026&amp;dst=110299&amp;field=134" TargetMode = "External"/><Relationship Id="rId41" Type="http://schemas.openxmlformats.org/officeDocument/2006/relationships/hyperlink" Target="https://login.consultant.ru/link/?req=doc&amp;base=LAW&amp;n=483090&amp;date=04.03.2026&amp;dst=110309&amp;field=134" TargetMode = "External"/><Relationship Id="rId42" Type="http://schemas.openxmlformats.org/officeDocument/2006/relationships/hyperlink" Target="https://login.consultant.ru/link/?req=doc&amp;base=LAW&amp;n=510818&amp;date=04.03.2026&amp;dst=415&amp;field=134" TargetMode = "External"/><Relationship Id="rId43" Type="http://schemas.openxmlformats.org/officeDocument/2006/relationships/hyperlink" Target="https://login.consultant.ru/link/?req=doc&amp;base=LAW&amp;n=499496&amp;date=04.03.2026" TargetMode = "External"/><Relationship Id="rId44" Type="http://schemas.openxmlformats.org/officeDocument/2006/relationships/hyperlink" Target="https://login.consultant.ru/link/?req=doc&amp;base=LAW&amp;n=522968&amp;date=04.03.2026&amp;dst=100047&amp;field=134" TargetMode = "External"/><Relationship Id="rId45" Type="http://schemas.openxmlformats.org/officeDocument/2006/relationships/hyperlink" Target="https://login.consultant.ru/link/?req=doc&amp;base=LAW&amp;n=494597&amp;date=04.03.2026&amp;dst=100037&amp;field=134" TargetMode = "External"/><Relationship Id="rId46" Type="http://schemas.openxmlformats.org/officeDocument/2006/relationships/hyperlink" Target="https://login.consultant.ru/link/?req=doc&amp;base=LAW&amp;n=522971&amp;date=04.03.2026&amp;dst=100137&amp;field=134" TargetMode = "External"/><Relationship Id="rId47" Type="http://schemas.openxmlformats.org/officeDocument/2006/relationships/hyperlink" Target="https://login.consultant.ru/link/?req=doc&amp;base=LAW&amp;n=483090&amp;date=04.03.2026&amp;dst=110310&amp;field=134" TargetMode = "External"/><Relationship Id="rId48" Type="http://schemas.openxmlformats.org/officeDocument/2006/relationships/hyperlink" Target="https://login.consultant.ru/link/?req=doc&amp;base=LAW&amp;n=483090&amp;date=04.03.2026&amp;dst=110312&amp;field=134" TargetMode = "External"/><Relationship Id="rId49" Type="http://schemas.openxmlformats.org/officeDocument/2006/relationships/hyperlink" Target="https://login.consultant.ru/link/?req=doc&amp;base=LAW&amp;n=483090&amp;date=04.03.2026&amp;dst=110313&amp;field=134" TargetMode = "External"/><Relationship Id="rId50" Type="http://schemas.openxmlformats.org/officeDocument/2006/relationships/hyperlink" Target="https://login.consultant.ru/link/?req=doc&amp;base=LAW&amp;n=510818&amp;date=04.03.2026" TargetMode = "External"/><Relationship Id="rId51" Type="http://schemas.openxmlformats.org/officeDocument/2006/relationships/hyperlink" Target="https://login.consultant.ru/link/?req=doc&amp;base=LAW&amp;n=483090&amp;date=04.03.2026&amp;dst=110314&amp;field=134" TargetMode = "External"/><Relationship Id="rId52" Type="http://schemas.openxmlformats.org/officeDocument/2006/relationships/hyperlink" Target="https://login.consultant.ru/link/?req=doc&amp;base=LAW&amp;n=495710&amp;date=04.03.2026" TargetMode = "External"/><Relationship Id="rId53" Type="http://schemas.openxmlformats.org/officeDocument/2006/relationships/hyperlink" Target="https://login.consultant.ru/link/?req=doc&amp;base=LAW&amp;n=483090&amp;date=04.03.2026&amp;dst=1103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24.05.2022 N 355
(ред. от 27.03.2025)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(Зарегистрировано в Минюсте России 24.06.2022 N 68984)</dc:title>
  <dcterms:created xsi:type="dcterms:W3CDTF">2026-03-04T07:08:51Z</dcterms:created>
</cp:coreProperties>
</file>