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359" w:rsidRDefault="00D86359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86359" w:rsidRDefault="00D86359">
      <w:pPr>
        <w:pStyle w:val="ConsPlusNormal"/>
        <w:jc w:val="both"/>
        <w:outlineLvl w:val="0"/>
      </w:pPr>
    </w:p>
    <w:p w:rsidR="00D86359" w:rsidRDefault="00D86359">
      <w:pPr>
        <w:pStyle w:val="ConsPlusTitle"/>
        <w:jc w:val="center"/>
        <w:outlineLvl w:val="0"/>
      </w:pPr>
      <w:r>
        <w:t>ПРАВИТЕЛЬСТВО ТВЕРСКОЙ ОБЛАСТИ</w:t>
      </w:r>
    </w:p>
    <w:p w:rsidR="00D86359" w:rsidRDefault="00D86359">
      <w:pPr>
        <w:pStyle w:val="ConsPlusTitle"/>
        <w:jc w:val="center"/>
      </w:pPr>
    </w:p>
    <w:p w:rsidR="00D86359" w:rsidRDefault="00D86359">
      <w:pPr>
        <w:pStyle w:val="ConsPlusTitle"/>
        <w:jc w:val="center"/>
      </w:pPr>
      <w:r>
        <w:t>ПОСТАНОВЛЕНИЕ</w:t>
      </w:r>
    </w:p>
    <w:p w:rsidR="00D86359" w:rsidRDefault="00D86359">
      <w:pPr>
        <w:pStyle w:val="ConsPlusTitle"/>
        <w:jc w:val="center"/>
      </w:pPr>
      <w:r>
        <w:t>от 15 августа 2017 г. N 246-пп</w:t>
      </w:r>
    </w:p>
    <w:p w:rsidR="00D86359" w:rsidRDefault="00D86359">
      <w:pPr>
        <w:pStyle w:val="ConsPlusTitle"/>
        <w:jc w:val="center"/>
      </w:pPr>
    </w:p>
    <w:p w:rsidR="00D86359" w:rsidRDefault="00D86359">
      <w:pPr>
        <w:pStyle w:val="ConsPlusTitle"/>
        <w:jc w:val="center"/>
      </w:pPr>
      <w:r>
        <w:t>О ПОРЯДКЕ ПРЕДОСТАВЛЕНИЯ ГРАНТОВ В ФОРМЕ СУБСИДИЙ</w:t>
      </w:r>
    </w:p>
    <w:p w:rsidR="00D86359" w:rsidRDefault="00D86359">
      <w:pPr>
        <w:pStyle w:val="ConsPlusTitle"/>
        <w:jc w:val="center"/>
      </w:pPr>
      <w:r>
        <w:t>НЕКОММЕРЧЕСКИМ ОРГАНИЗАЦИЯМ, НЕ ЯВЛЯЮЩИМСЯ КАЗЕННЫМИ</w:t>
      </w:r>
    </w:p>
    <w:p w:rsidR="00D86359" w:rsidRDefault="00D86359">
      <w:pPr>
        <w:pStyle w:val="ConsPlusTitle"/>
        <w:jc w:val="center"/>
      </w:pPr>
      <w:r>
        <w:t>УЧРЕЖДЕНИЯМИ, НА РАЗВИТИЕ СИСТЕМЫ ВЫЯВЛЕНИЯ И ПОДДЕРЖКИ</w:t>
      </w:r>
    </w:p>
    <w:p w:rsidR="00D86359" w:rsidRDefault="00D86359">
      <w:pPr>
        <w:pStyle w:val="ConsPlusTitle"/>
        <w:jc w:val="center"/>
      </w:pPr>
      <w:r>
        <w:t>ОДАРЕННЫХ И ВЫСОКОМОТИВИРОВАННЫХ ОБУЧАЮЩИХСЯ</w:t>
      </w:r>
    </w:p>
    <w:p w:rsidR="00D86359" w:rsidRDefault="00D8635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D8635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86359" w:rsidRDefault="00D8635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6359" w:rsidRDefault="00D8635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Тверской области от 26.04.2019 </w:t>
            </w:r>
            <w:hyperlink r:id="rId5" w:history="1">
              <w:r>
                <w:rPr>
                  <w:color w:val="0000FF"/>
                </w:rPr>
                <w:t>N 170-пп</w:t>
              </w:r>
            </w:hyperlink>
            <w:r>
              <w:rPr>
                <w:color w:val="392C69"/>
              </w:rPr>
              <w:t>,</w:t>
            </w:r>
          </w:p>
          <w:p w:rsidR="00D86359" w:rsidRDefault="00D863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25.10.2019 </w:t>
            </w:r>
            <w:hyperlink r:id="rId6" w:history="1">
              <w:r>
                <w:rPr>
                  <w:color w:val="0000FF"/>
                </w:rPr>
                <w:t>N 409-пп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86359" w:rsidRDefault="00D86359">
      <w:pPr>
        <w:pStyle w:val="ConsPlusNormal"/>
        <w:jc w:val="both"/>
      </w:pPr>
    </w:p>
    <w:p w:rsidR="00D86359" w:rsidRDefault="00D86359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Тверской области от 28.12.2019 N 402-пп "О государственной программе Тверской области "Развитие образования Тверской области" на 2019 - 2024 годы", в целях развития системы выявления и поддержки одаренных и высокомотивированных обучающихся Правительство Тверской области постановляет:</w:t>
      </w:r>
    </w:p>
    <w:p w:rsidR="00D86359" w:rsidRDefault="00D86359">
      <w:pPr>
        <w:pStyle w:val="ConsPlusNormal"/>
        <w:jc w:val="both"/>
      </w:pPr>
      <w:r>
        <w:t xml:space="preserve">(в ред. Постановлений Правительства Тверской области от 26.04.2019 </w:t>
      </w:r>
      <w:hyperlink r:id="rId8" w:history="1">
        <w:r>
          <w:rPr>
            <w:color w:val="0000FF"/>
          </w:rPr>
          <w:t>N 170-пп</w:t>
        </w:r>
      </w:hyperlink>
      <w:r>
        <w:t xml:space="preserve">, от 25.10.2019 </w:t>
      </w:r>
      <w:hyperlink r:id="rId9" w:history="1">
        <w:r>
          <w:rPr>
            <w:color w:val="0000FF"/>
          </w:rPr>
          <w:t>N 409-пп</w:t>
        </w:r>
      </w:hyperlink>
      <w:r>
        <w:t>)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5" w:history="1">
        <w:r>
          <w:rPr>
            <w:color w:val="0000FF"/>
          </w:rPr>
          <w:t>Порядок</w:t>
        </w:r>
      </w:hyperlink>
      <w:r>
        <w:t xml:space="preserve"> предоставления грантов в форме субсидий некоммерческим организациям, не являющимся казенными учреждениями, на развитие системы выявления и поддержки одаренных и высокомотивированных обучающихся (прилагается).</w:t>
      </w:r>
    </w:p>
    <w:p w:rsidR="00D86359" w:rsidRDefault="00D86359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Тверской области от 25.10.2019 N 409-пп)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 xml:space="preserve">а)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Правительства Тверской области от 25.06.2013 N 279-пп "Об утверждении Порядка определения объема и предоставления субсидий юридическим лицам, являющимся негосударственными некоммерческими организациями, на обеспечение общеобразовательной деятельности и круглосуточного жизнеустройства одаренных учащихся из районных центров и сельской местности Тверской области";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 xml:space="preserve">б) </w:t>
      </w: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Тверской области от 24.03.2015 N 130-пп "О внесении изменений в Постановление Правительства Тверской области от 25.06.2013 N 279-пп".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D86359" w:rsidRDefault="00D86359">
      <w:pPr>
        <w:pStyle w:val="ConsPlusNormal"/>
        <w:jc w:val="both"/>
      </w:pPr>
    </w:p>
    <w:p w:rsidR="00D86359" w:rsidRDefault="00D86359">
      <w:pPr>
        <w:pStyle w:val="ConsPlusNormal"/>
        <w:jc w:val="right"/>
      </w:pPr>
      <w:r>
        <w:t>Губернатор Тверской области</w:t>
      </w:r>
    </w:p>
    <w:p w:rsidR="00D86359" w:rsidRDefault="00D86359">
      <w:pPr>
        <w:pStyle w:val="ConsPlusNormal"/>
        <w:jc w:val="right"/>
      </w:pPr>
      <w:r>
        <w:t>И.М.РУДЕНЯ</w:t>
      </w:r>
    </w:p>
    <w:p w:rsidR="00D86359" w:rsidRDefault="00D86359">
      <w:pPr>
        <w:pStyle w:val="ConsPlusNormal"/>
        <w:jc w:val="both"/>
      </w:pPr>
    </w:p>
    <w:p w:rsidR="00D86359" w:rsidRDefault="00D86359">
      <w:pPr>
        <w:pStyle w:val="ConsPlusNormal"/>
        <w:jc w:val="both"/>
      </w:pPr>
    </w:p>
    <w:p w:rsidR="00D86359" w:rsidRDefault="00D86359">
      <w:pPr>
        <w:pStyle w:val="ConsPlusNormal"/>
        <w:jc w:val="both"/>
      </w:pPr>
    </w:p>
    <w:p w:rsidR="00D86359" w:rsidRDefault="00D86359">
      <w:pPr>
        <w:pStyle w:val="ConsPlusNormal"/>
        <w:jc w:val="both"/>
      </w:pPr>
    </w:p>
    <w:p w:rsidR="00D86359" w:rsidRDefault="00D86359">
      <w:pPr>
        <w:pStyle w:val="ConsPlusNormal"/>
        <w:jc w:val="both"/>
      </w:pPr>
    </w:p>
    <w:p w:rsidR="00D86359" w:rsidRDefault="00D86359">
      <w:pPr>
        <w:pStyle w:val="ConsPlusNormal"/>
        <w:jc w:val="right"/>
        <w:outlineLvl w:val="0"/>
      </w:pPr>
      <w:r>
        <w:t>Приложение</w:t>
      </w:r>
    </w:p>
    <w:p w:rsidR="00D86359" w:rsidRDefault="00D86359">
      <w:pPr>
        <w:pStyle w:val="ConsPlusNormal"/>
        <w:jc w:val="right"/>
      </w:pPr>
      <w:r>
        <w:t>к Постановлению Правительства</w:t>
      </w:r>
    </w:p>
    <w:p w:rsidR="00D86359" w:rsidRDefault="00D86359">
      <w:pPr>
        <w:pStyle w:val="ConsPlusNormal"/>
        <w:jc w:val="right"/>
      </w:pPr>
      <w:r>
        <w:t>Тверской области</w:t>
      </w:r>
    </w:p>
    <w:p w:rsidR="00D86359" w:rsidRDefault="00D86359">
      <w:pPr>
        <w:pStyle w:val="ConsPlusNormal"/>
        <w:jc w:val="right"/>
      </w:pPr>
      <w:r>
        <w:t>от 15 августа 2017 г. N 246-пп</w:t>
      </w:r>
    </w:p>
    <w:p w:rsidR="00D86359" w:rsidRDefault="00D86359">
      <w:pPr>
        <w:pStyle w:val="ConsPlusNormal"/>
        <w:jc w:val="both"/>
      </w:pPr>
    </w:p>
    <w:p w:rsidR="00D86359" w:rsidRDefault="00D86359">
      <w:pPr>
        <w:pStyle w:val="ConsPlusTitle"/>
        <w:jc w:val="center"/>
      </w:pPr>
      <w:bookmarkStart w:id="0" w:name="P35"/>
      <w:bookmarkEnd w:id="0"/>
      <w:r>
        <w:lastRenderedPageBreak/>
        <w:t>ПОРЯДОК</w:t>
      </w:r>
    </w:p>
    <w:p w:rsidR="00D86359" w:rsidRDefault="00D86359">
      <w:pPr>
        <w:pStyle w:val="ConsPlusTitle"/>
        <w:jc w:val="center"/>
      </w:pPr>
      <w:r>
        <w:t>предоставления грантов в форме субсидий</w:t>
      </w:r>
    </w:p>
    <w:p w:rsidR="00D86359" w:rsidRDefault="00D86359">
      <w:pPr>
        <w:pStyle w:val="ConsPlusTitle"/>
        <w:jc w:val="center"/>
      </w:pPr>
      <w:r>
        <w:t>некоммерческим организациям, не являющимся казенными</w:t>
      </w:r>
    </w:p>
    <w:p w:rsidR="00D86359" w:rsidRDefault="00D86359">
      <w:pPr>
        <w:pStyle w:val="ConsPlusTitle"/>
        <w:jc w:val="center"/>
      </w:pPr>
      <w:r>
        <w:t>учреждениями, на развитие системы выявления и поддержки</w:t>
      </w:r>
    </w:p>
    <w:p w:rsidR="00D86359" w:rsidRDefault="00D86359">
      <w:pPr>
        <w:pStyle w:val="ConsPlusTitle"/>
        <w:jc w:val="center"/>
      </w:pPr>
      <w:r>
        <w:t>одаренных и высокомотивированных обучающихся</w:t>
      </w:r>
    </w:p>
    <w:p w:rsidR="00D86359" w:rsidRDefault="00D8635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D8635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86359" w:rsidRDefault="00D8635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6359" w:rsidRDefault="00D8635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Тверской области от 26.04.2019 </w:t>
            </w:r>
            <w:hyperlink r:id="rId13" w:history="1">
              <w:r>
                <w:rPr>
                  <w:color w:val="0000FF"/>
                </w:rPr>
                <w:t>N 170-пп</w:t>
              </w:r>
            </w:hyperlink>
            <w:r>
              <w:rPr>
                <w:color w:val="392C69"/>
              </w:rPr>
              <w:t>,</w:t>
            </w:r>
          </w:p>
          <w:p w:rsidR="00D86359" w:rsidRDefault="00D863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25.10.2019 </w:t>
            </w:r>
            <w:hyperlink r:id="rId14" w:history="1">
              <w:r>
                <w:rPr>
                  <w:color w:val="0000FF"/>
                </w:rPr>
                <w:t>N 409-пп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86359" w:rsidRDefault="00D86359">
      <w:pPr>
        <w:pStyle w:val="ConsPlusNormal"/>
        <w:jc w:val="both"/>
      </w:pPr>
    </w:p>
    <w:p w:rsidR="00D86359" w:rsidRDefault="00D86359">
      <w:pPr>
        <w:pStyle w:val="ConsPlusTitle"/>
        <w:jc w:val="center"/>
        <w:outlineLvl w:val="1"/>
      </w:pPr>
      <w:r>
        <w:t>Раздел I</w:t>
      </w:r>
    </w:p>
    <w:p w:rsidR="00D86359" w:rsidRDefault="00D86359">
      <w:pPr>
        <w:pStyle w:val="ConsPlusTitle"/>
        <w:jc w:val="center"/>
      </w:pPr>
      <w:r>
        <w:t>Общие положения</w:t>
      </w:r>
    </w:p>
    <w:p w:rsidR="00D86359" w:rsidRDefault="00D86359">
      <w:pPr>
        <w:pStyle w:val="ConsPlusNormal"/>
        <w:jc w:val="both"/>
      </w:pPr>
    </w:p>
    <w:p w:rsidR="00D86359" w:rsidRDefault="00D86359">
      <w:pPr>
        <w:pStyle w:val="ConsPlusNormal"/>
        <w:ind w:firstLine="540"/>
        <w:jc w:val="both"/>
      </w:pPr>
      <w:r>
        <w:t xml:space="preserve">1. Настоящий Порядок разработан в соответствии с </w:t>
      </w:r>
      <w:hyperlink r:id="rId15" w:history="1">
        <w:r>
          <w:rPr>
            <w:color w:val="0000FF"/>
          </w:rPr>
          <w:t>частью 4 статьи 78.1</w:t>
        </w:r>
      </w:hyperlink>
      <w:r>
        <w:t xml:space="preserve"> Бюджетного кодекса Российской Федерации и регламентирует процедуру предоставления грантов в форме субсидий некоммерческим организациям, не являющимся казенными учреждениями, на развитие системы выявления и поддержки одаренных и высокомотивированных обучающихся из областного бюджета Тверской области (далее - гранты).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>2. Главным распорядителем средств областного бюджета Тверской области на предоставление гранта является Министерство образования Тверской области (далее - Министерство).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>Отбор одаренных и высокомотивированных обучающихся (далее - одаренные обучающиеся) осуществляется Министерством в порядке, установленном Министерством.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>3. Грант предоставляется Министерством автономным или бюджетным некоммерческим организациям, включая организации, в отношении которых Министерство образования Тверской области не осуществляет функции и полномочия учредителя (далее - организации), на реализацию образовательного проекта по организации обучения одаренных обучающихся Тверской области по основной образовательной программе среднего общего образования, обеспечивающей дополнительную (углубленную) подготовку по отдельным предметам, в течение двух учебных лет (далее - образовательный проект).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>4. Задачи предоставления гранта: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>а) обеспечение условий для обучения одаренных обучающихся Тверской области по основной образовательной программе среднего общего образования, обеспечивающей дополнительную (углубленную) подготовку по отдельным предметам;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>б) обеспечение круглосуточного жизнеустройства не менее 20 обучающихся в соответствии с требованиями санитарно-эпидемиологического законодательства в пешеходной доступности от места предоставления образовательной услуги не более 0,5 км на время реализации образовательного проекта.</w:t>
      </w:r>
    </w:p>
    <w:p w:rsidR="00D86359" w:rsidRDefault="00D86359">
      <w:pPr>
        <w:pStyle w:val="ConsPlusNormal"/>
        <w:spacing w:before="220"/>
        <w:ind w:firstLine="540"/>
        <w:jc w:val="both"/>
      </w:pPr>
      <w:bookmarkStart w:id="1" w:name="P54"/>
      <w:bookmarkEnd w:id="1"/>
      <w:r>
        <w:t>5. Грант предоставляется организации, местонахождением которой является город Тверь, отобранной по результатам конкурсного отбора на предоставление гранта, при соблюдении следующих требований: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>а) наличие у организации лицензии на осуществление образовательной деятельности по основной образовательной программе среднего общего образования;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>б) наличие у организации государственной аккредитации по основной образовательной программе среднего общего образования;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lastRenderedPageBreak/>
        <w:t xml:space="preserve">в) наличие у организации образовательного проекта в соответствии с требованиями, указанными в </w:t>
      </w:r>
      <w:hyperlink w:anchor="P72" w:history="1">
        <w:r>
          <w:rPr>
            <w:color w:val="0000FF"/>
          </w:rPr>
          <w:t>подпункте "д" пункта 8</w:t>
        </w:r>
      </w:hyperlink>
      <w:r>
        <w:t xml:space="preserve"> настоящего Порядка;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>г) обеспечение круглосуточного жизнеустройства не менее 20 обучающихся в соответствии с требованиями санитарно-эпидемиологического законодательства в пешеходной доступности от места предоставления образовательной услуги не более 0,5 км на время реализации образовательного проекта.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>6. Организатором проведения отбора организаций в целях предоставления им гранта является Министерство.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>7. Размер гранта определяется Министерством с учетом финансового плана, предусмотренного образовательным проектом, в пределах объема бюджетных ассигнований, предусмотренных на эти цели законом об областном бюджете Тверской области на соответствующий финансовый год и на плановый период, на срок, предусмотренный для реализации образовательного проекта.</w:t>
      </w:r>
    </w:p>
    <w:p w:rsidR="00D86359" w:rsidRDefault="00D86359">
      <w:pPr>
        <w:pStyle w:val="ConsPlusNormal"/>
        <w:jc w:val="both"/>
      </w:pPr>
    </w:p>
    <w:p w:rsidR="00D86359" w:rsidRDefault="00D86359">
      <w:pPr>
        <w:pStyle w:val="ConsPlusTitle"/>
        <w:jc w:val="center"/>
        <w:outlineLvl w:val="1"/>
      </w:pPr>
      <w:r>
        <w:t>Раздел II</w:t>
      </w:r>
    </w:p>
    <w:p w:rsidR="00D86359" w:rsidRDefault="00D86359">
      <w:pPr>
        <w:pStyle w:val="ConsPlusTitle"/>
        <w:jc w:val="center"/>
      </w:pPr>
      <w:r>
        <w:t>Условия и порядок предоставления гранта</w:t>
      </w:r>
    </w:p>
    <w:p w:rsidR="00D86359" w:rsidRDefault="00D86359">
      <w:pPr>
        <w:pStyle w:val="ConsPlusNormal"/>
        <w:jc w:val="both"/>
      </w:pPr>
    </w:p>
    <w:p w:rsidR="00D86359" w:rsidRDefault="00D86359">
      <w:pPr>
        <w:pStyle w:val="ConsPlusNormal"/>
        <w:ind w:firstLine="540"/>
        <w:jc w:val="both"/>
      </w:pPr>
      <w:bookmarkStart w:id="2" w:name="P65"/>
      <w:bookmarkEnd w:id="2"/>
      <w:r>
        <w:t>8. Участниками конкурса являются организации, представившие в Министерство следующие документы: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>а) заявка на участие в конкурсе, подписанная руководителем образовательной организации, которая должна содержать: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>наименование, место нахождения и адрес юридического лица;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>решение (копия протокола) коллегиального органа управления организации, предусмотренного уставом соответствующей организации, на участие в конкурсе;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>б) копия свидетельства о государственной аккредитации по основной образовательной программе среднего общего образования, заверенная в установленном порядке;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>в) копия лицензии на осуществление образовательной деятельности по основной образовательной программе среднего общего образования, заверенная в установленном порядке;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>г) копия документа, удостоверяющего полномочия представителя заявителя, в том числе доверенность, копия решения о назначении или избрании физического лица на должность, подтверждающая полномочия физического лица на подписание договоров от имени этой организации;</w:t>
      </w:r>
    </w:p>
    <w:p w:rsidR="00D86359" w:rsidRDefault="00D86359">
      <w:pPr>
        <w:pStyle w:val="ConsPlusNormal"/>
        <w:spacing w:before="220"/>
        <w:ind w:firstLine="540"/>
        <w:jc w:val="both"/>
      </w:pPr>
      <w:bookmarkStart w:id="3" w:name="P72"/>
      <w:bookmarkEnd w:id="3"/>
      <w:r>
        <w:t>д) образовательный проект, утвержденный руководителем организации, который должен содержать: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>описание актуальности, целей и задач предлагаемого к реализации проекта (программы), обоснование его значимости для развития системы образования Тверской области;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>целевые показатели, запланированные к достижению в случае предоставления финансовой поддержки;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>этапы, содержание, методы и формы деятельности, прогнозируемые результаты по каждому этапу (включая показатели и индикаторы), необходимые условия организации работ, ресурсы (материально-технические, кадровые, финансовые, включая средства из всех источников), средства мониторинга и контроля;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lastRenderedPageBreak/>
        <w:t>календарный план реализации образовательного проекта;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>описание рисков и предложения по их снижению;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>проект финансового плана образовательного проекта, в том числе содержащий обоснование расходов на обеспечение круглосуточного жизнеустройства обучающихся;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>е) копии документов, подтверждающих возможность обеспечения организацией круглосуточного жизнеустройства обучающихся.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>Сроки предоставления организациями документов на участие в конкурсе устанавливаются приказом Министерства.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>9. Отбор организаций осуществляется на основании оценки качества образовательного проекта, предусматривающего реализацию мероприятия, комиссией, порядок формирования и работы которой утверждается приказом Министерства. Комиссия в течение 10 календарных дней со дня окончания срока предоставления заявок рассматривает их и принимает решение о соответствии представленных документов требованиям настоящего Порядка и определяет победителя конкурсного отбора - получателя гранта.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>В течение 3 рабочих дней со дня принятия комиссией решения о предоставлении либо отказе в предоставлении гранта Министерство письменно уведомляет организацию о принятом решении.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>10. Основаниями для отказа служат: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 xml:space="preserve">а) несоответствие представленных организацией документов требованиям, определенным в </w:t>
      </w:r>
      <w:hyperlink w:anchor="P65" w:history="1">
        <w:r>
          <w:rPr>
            <w:color w:val="0000FF"/>
          </w:rPr>
          <w:t>пункте 8</w:t>
        </w:r>
      </w:hyperlink>
      <w:r>
        <w:t xml:space="preserve"> настоящего Порядка, или непредставление (предоставление не в полном объеме) указанных документов;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>б) недостоверность представленной организацией информации;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 xml:space="preserve">в) несоответствие организации одному из требований, указанных в </w:t>
      </w:r>
      <w:hyperlink w:anchor="P54" w:history="1">
        <w:r>
          <w:rPr>
            <w:color w:val="0000FF"/>
          </w:rPr>
          <w:t>пункте 5</w:t>
        </w:r>
      </w:hyperlink>
      <w:r>
        <w:t xml:space="preserve"> настоящего Порядка.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>11. Победитель конкурсного отбора - получатель гранта утверждается приказом Министерства.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>12. Предоставление гранта осуществляется на основании соглашения о предоставлении гранта в форме субсидий некоммерческим организациям, не являющимся казенными учреждениями, на развитие системы выявления и поддержки одаренных и высокомотивированных обучающихся, заключенного между получателем гранта и Министерством (далее - Соглашение) по форме, утвержденной Министерством.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>13. Получатель гранта на первое число месяца, предшествующего месяцу, в котором планируется заключение Соглашения, не должен находиться в процессе реорганизации, ликвидации, банкротства.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>14. Соглашение должно содержать следующие положения: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>а) целевое назначение гранта;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>б) размер гранта и условия его предоставления;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>в) порядок и сроки перечисления гранта;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>г) сроки и порядок предоставления отчетности об использовании гранта;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lastRenderedPageBreak/>
        <w:t>д) обязательство получателя о расходовании средств гранта в соответствии с финансовым планом образовательного проекта, согласованным с Министерством, и ведения раздельного учета собственных средств организации и средств гранта, направляемых на реализацию образовательного проекта;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>е) целевые показатели реализации образовательного проекта;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>ж) случаи и порядок возврата гранта;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>з) ответственность сторон за нарушение условий Соглашения;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>и) реквизиты банка (наименование, БИК, корреспондентский счет) и реквизиты для перечисления гранта (полное наименование, ИНН, тип и номер счета).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>15. Перечисление гранта осуществляется в порядке, определенном Соглашением.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 xml:space="preserve">16. Перечисление гранта в соответствии с бюджетным </w:t>
      </w:r>
      <w:hyperlink r:id="rId1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осуществляется на банковский счет получателя гранта.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>16.1. Из одаренных обучающихся, отобранных в соответствии с пунктом 2 раздела I настоящего Порядка, получатель гранта формирует класс, которому на срок, предусмотренный для реализации образовательного проекта, правовым актом уполномоченного исполнительного органа государственной власти Тверской области, обеспечивающего разработку и реализацию единой государственной политики в сфере образования, присваивается наименование "Губернаторский класс".</w:t>
      </w:r>
    </w:p>
    <w:p w:rsidR="00D86359" w:rsidRDefault="00D86359">
      <w:pPr>
        <w:pStyle w:val="ConsPlusNormal"/>
        <w:jc w:val="both"/>
      </w:pPr>
      <w:r>
        <w:t xml:space="preserve">(п. 16.1 введен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Тверской области от 26.04.2019 N 170-пп;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Тверской области от 25.10.2019 N 409-пп)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>16.2. Обучающимся "Губернаторского класса" вручается нагрудный знак в порядке, установленном постановлением Правительства Тверской области.</w:t>
      </w:r>
    </w:p>
    <w:p w:rsidR="00D86359" w:rsidRDefault="00D86359">
      <w:pPr>
        <w:pStyle w:val="ConsPlusNormal"/>
        <w:jc w:val="both"/>
      </w:pPr>
      <w:r>
        <w:t xml:space="preserve">(п. 16.2 введен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Тверской области от 25.10.2019 N 409-пп)</w:t>
      </w:r>
    </w:p>
    <w:p w:rsidR="00D86359" w:rsidRDefault="00D86359">
      <w:pPr>
        <w:pStyle w:val="ConsPlusNormal"/>
        <w:jc w:val="both"/>
      </w:pPr>
    </w:p>
    <w:p w:rsidR="00D86359" w:rsidRDefault="00D86359">
      <w:pPr>
        <w:pStyle w:val="ConsPlusTitle"/>
        <w:jc w:val="center"/>
        <w:outlineLvl w:val="1"/>
      </w:pPr>
      <w:r>
        <w:t>Раздел III</w:t>
      </w:r>
    </w:p>
    <w:p w:rsidR="00D86359" w:rsidRDefault="00D86359">
      <w:pPr>
        <w:pStyle w:val="ConsPlusTitle"/>
        <w:jc w:val="center"/>
      </w:pPr>
      <w:r>
        <w:t>Требования об осуществлении контроля за соблюдением</w:t>
      </w:r>
    </w:p>
    <w:p w:rsidR="00D86359" w:rsidRDefault="00D86359">
      <w:pPr>
        <w:pStyle w:val="ConsPlusTitle"/>
        <w:jc w:val="center"/>
      </w:pPr>
      <w:r>
        <w:t>условий, целей и порядка предоставления гранта</w:t>
      </w:r>
    </w:p>
    <w:p w:rsidR="00D86359" w:rsidRDefault="00D86359">
      <w:pPr>
        <w:pStyle w:val="ConsPlusTitle"/>
        <w:jc w:val="center"/>
      </w:pPr>
      <w:r>
        <w:t>и ответственности за их нарушение</w:t>
      </w:r>
    </w:p>
    <w:p w:rsidR="00D86359" w:rsidRDefault="00D86359">
      <w:pPr>
        <w:pStyle w:val="ConsPlusNormal"/>
        <w:jc w:val="both"/>
      </w:pPr>
    </w:p>
    <w:p w:rsidR="00D86359" w:rsidRDefault="00D86359">
      <w:pPr>
        <w:pStyle w:val="ConsPlusNormal"/>
        <w:ind w:firstLine="540"/>
        <w:jc w:val="both"/>
      </w:pPr>
      <w:r>
        <w:t>17. Получатель гранта несет ответственность в соответствии с законодательством за нарушение условий, установленных при предоставлении гранта, нецелевое использование гранта, недостоверность информации, представляемой Министерству.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>18. Контроль за соблюдением условий, целей и порядка предоставления гранта осуществляется Министерством путем проведения обязательных проверок соблюдения условий, целей и порядка предоставления гранта получателем гранта.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 xml:space="preserve">19. Получатель гранта дает согласие на осуществление проверок соблюдения условий, целей и порядка предоставления гранта, а также его расходования Министерством и органами государственного финансового контроля в соответствии с бюджетным </w:t>
      </w:r>
      <w:hyperlink r:id="rId20" w:history="1">
        <w:r>
          <w:rPr>
            <w:color w:val="0000FF"/>
          </w:rPr>
          <w:t>законодательством</w:t>
        </w:r>
      </w:hyperlink>
      <w:r>
        <w:t>.</w:t>
      </w:r>
    </w:p>
    <w:p w:rsidR="00D86359" w:rsidRDefault="00D86359">
      <w:pPr>
        <w:pStyle w:val="ConsPlusNormal"/>
        <w:spacing w:before="220"/>
        <w:ind w:firstLine="540"/>
        <w:jc w:val="both"/>
      </w:pPr>
      <w:bookmarkStart w:id="4" w:name="P115"/>
      <w:bookmarkEnd w:id="4"/>
      <w:r>
        <w:t>20. В случае выявления по результатам проверок факта несоблюдения условий и целей, установленных при предоставлении гранта, предусмотренных настоящим Порядком, а также представления недостоверных сведений и документов полученные средства подлежат возврату в областной бюджет Тверской области в порядке и сроки, предусмотренные бюджетным законодательством.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 xml:space="preserve">21. Министерство в течение 3 рабочих дней со дня установления фактов, предусмотренных </w:t>
      </w:r>
      <w:hyperlink w:anchor="P115" w:history="1">
        <w:r>
          <w:rPr>
            <w:color w:val="0000FF"/>
          </w:rPr>
          <w:t>пунктом 20</w:t>
        </w:r>
      </w:hyperlink>
      <w:r>
        <w:t xml:space="preserve"> настоящего Порядка, направляет получателю гранта уведомление о необходимости возврата неправомерно полученной суммы гранта с указанием реквизитов для перечисления денежных средств. Получатель гранта в течение 20 рабочих дней со дня получения письменного уведомления обязан произвести возврат неправомерно полученной суммы гранта.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>22. Возврат получателем гранта производится в добровольном порядке, а в случае отказа или возврата гранта не в полном объеме средства гранта взыскиваются в судебном порядке в соответствии с законодательством.</w:t>
      </w:r>
    </w:p>
    <w:p w:rsidR="00D86359" w:rsidRDefault="00D86359">
      <w:pPr>
        <w:pStyle w:val="ConsPlusNormal"/>
        <w:spacing w:before="220"/>
        <w:ind w:firstLine="540"/>
        <w:jc w:val="both"/>
      </w:pPr>
      <w:r>
        <w:t xml:space="preserve">23. Не использованные в текущем финансовом году остатки средств гранта подлежат возврату в областной бюджет Тверской области в соответствии с бюджетным </w:t>
      </w:r>
      <w:hyperlink r:id="rId21" w:history="1">
        <w:r>
          <w:rPr>
            <w:color w:val="0000FF"/>
          </w:rPr>
          <w:t>законодательством</w:t>
        </w:r>
      </w:hyperlink>
      <w:r>
        <w:t>.</w:t>
      </w:r>
    </w:p>
    <w:p w:rsidR="00D86359" w:rsidRDefault="00D86359">
      <w:pPr>
        <w:pStyle w:val="ConsPlusNormal"/>
        <w:jc w:val="both"/>
      </w:pPr>
    </w:p>
    <w:p w:rsidR="00D86359" w:rsidRDefault="00D86359">
      <w:pPr>
        <w:pStyle w:val="ConsPlusNormal"/>
        <w:jc w:val="both"/>
      </w:pPr>
    </w:p>
    <w:p w:rsidR="00D86359" w:rsidRDefault="00D8635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6DD6" w:rsidRDefault="00AF3363">
      <w:bookmarkStart w:id="5" w:name="_GoBack"/>
      <w:bookmarkEnd w:id="5"/>
    </w:p>
    <w:sectPr w:rsidR="001B6DD6" w:rsidSect="004B4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359"/>
    <w:rsid w:val="006A5D3E"/>
    <w:rsid w:val="00AF3363"/>
    <w:rsid w:val="00D638D2"/>
    <w:rsid w:val="00D647AD"/>
    <w:rsid w:val="00D86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63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63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63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2CA52DDCFD650B4622CE953B24198FA2AF5A58A6B920EDFD7ED9339F0737CCF85C2646A94FA48D72DCF3ABB3F22A89535F81DD6BE2E14E22CE57qE65H" TargetMode="External"/><Relationship Id="rId13" Type="http://schemas.openxmlformats.org/officeDocument/2006/relationships/hyperlink" Target="consultantplus://offline/ref=442CA52DDCFD650B4622CE953B24198FA2AF5A58A6B920EDFD7ED9339F0737CCF85C2646A94FA48D72DCF3AAB3F22A89535F81DD6BE2E14E22CE57qE65H" TargetMode="External"/><Relationship Id="rId18" Type="http://schemas.openxmlformats.org/officeDocument/2006/relationships/hyperlink" Target="consultantplus://offline/ref=442CA52DDCFD650B4622CE953B24198FA2AF5A58A6BA25EEFE7ED9339F0737CCF85C2646A94FA48D72DCF3A4B3F22A89535F81DD6BE2E14E22CE57qE65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42CA52DDCFD650B4622D0982D484381A7A3055CAEB928BFA121826EC80E3D9BAD132708EC4BBB8D73C2F1ADBAqA67H" TargetMode="External"/><Relationship Id="rId7" Type="http://schemas.openxmlformats.org/officeDocument/2006/relationships/hyperlink" Target="consultantplus://offline/ref=442CA52DDCFD650B4622CE953B24198FA2AF5A58AEB923E9FB748439975E3BCEFF537951AE06A88C72DDF2AFBDAD2F9C42078DD57CFCE0513ECC55E6qB6EH" TargetMode="External"/><Relationship Id="rId12" Type="http://schemas.openxmlformats.org/officeDocument/2006/relationships/hyperlink" Target="consultantplus://offline/ref=442CA52DDCFD650B4622CE953B24198FA2AF5A58AAB027EAF47ED9339F0737CCF85C2654A917A88C7BC2F3ACA6A47BCFq067H" TargetMode="External"/><Relationship Id="rId17" Type="http://schemas.openxmlformats.org/officeDocument/2006/relationships/hyperlink" Target="consultantplus://offline/ref=442CA52DDCFD650B4622CE953B24198FA2AF5A58A6B920EDFD7ED9339F0737CCF85C2646A94FA48D72DCF3AAB3F22A89535F81DD6BE2E14E22CE57qE65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42CA52DDCFD650B4622D0982D484381A7A3055CAEB928BFA121826EC80E3D9BAD132708EC4BBB8D73C2F1ADBAqA67H" TargetMode="External"/><Relationship Id="rId20" Type="http://schemas.openxmlformats.org/officeDocument/2006/relationships/hyperlink" Target="consultantplus://offline/ref=442CA52DDCFD650B4622D0982D484381A7A3055CAEB928BFA121826EC80E3D9BAD132708EC4BBB8D73C2F1ADBAqA6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42CA52DDCFD650B4622CE953B24198FA2AF5A58A6BA25EEFE7ED9339F0737CCF85C2646A94FA48D72DCF3A8B3F22A89535F81DD6BE2E14E22CE57qE65H" TargetMode="External"/><Relationship Id="rId11" Type="http://schemas.openxmlformats.org/officeDocument/2006/relationships/hyperlink" Target="consultantplus://offline/ref=442CA52DDCFD650B4622CE953B24198FA2AF5A58A9B922E0F87ED9339F0737CCF85C2654A917A88C7BC2F3ACA6A47BCFq067H" TargetMode="External"/><Relationship Id="rId5" Type="http://schemas.openxmlformats.org/officeDocument/2006/relationships/hyperlink" Target="consultantplus://offline/ref=442CA52DDCFD650B4622CE953B24198FA2AF5A58A6B920EDFD7ED9339F0737CCF85C2646A94FA48D72DCF3A8B3F22A89535F81DD6BE2E14E22CE57qE65H" TargetMode="External"/><Relationship Id="rId15" Type="http://schemas.openxmlformats.org/officeDocument/2006/relationships/hyperlink" Target="consultantplus://offline/ref=442CA52DDCFD650B4622D0982D484381A7A3055CAEB928BFA121826EC80E3D9BBF137F04ED41A18C73D7A7FCFCF376CC0F4C80D56BE0E052q261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42CA52DDCFD650B4622CE953B24198FA2AF5A58A6BA25EEFE7ED9339F0737CCF85C2646A94FA48D72DCF3AAB3F22A89535F81DD6BE2E14E22CE57qE65H" TargetMode="External"/><Relationship Id="rId19" Type="http://schemas.openxmlformats.org/officeDocument/2006/relationships/hyperlink" Target="consultantplus://offline/ref=442CA52DDCFD650B4622CE953B24198FA2AF5A58A6BA25EEFE7ED9339F0737CCF85C2646A94FA48D72DCF2ACB3F22A89535F81DD6BE2E14E22CE57qE65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42CA52DDCFD650B4622CE953B24198FA2AF5A58A6BA25EEFE7ED9339F0737CCF85C2646A94FA48D72DCF3ABB3F22A89535F81DD6BE2E14E22CE57qE65H" TargetMode="External"/><Relationship Id="rId14" Type="http://schemas.openxmlformats.org/officeDocument/2006/relationships/hyperlink" Target="consultantplus://offline/ref=442CA52DDCFD650B4622CE953B24198FA2AF5A58A6BA25EEFE7ED9339F0737CCF85C2646A94FA48D72DCF3A5B3F22A89535F81DD6BE2E14E22CE57qE65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2402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Alexandrovna Tarasova</dc:creator>
  <cp:lastModifiedBy>User</cp:lastModifiedBy>
  <cp:revision>2</cp:revision>
  <dcterms:created xsi:type="dcterms:W3CDTF">2023-01-19T07:58:00Z</dcterms:created>
  <dcterms:modified xsi:type="dcterms:W3CDTF">2023-01-19T07:58:00Z</dcterms:modified>
</cp:coreProperties>
</file>