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3C7F17" w:rsidRPr="003C7F17" w:rsidTr="003C7F17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7F17" w:rsidRPr="003C7F17" w:rsidRDefault="003C7F17" w:rsidP="003C7F17">
            <w:pPr>
              <w:spacing w:before="300" w:after="30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36"/>
                <w:szCs w:val="36"/>
                <w:lang w:eastAsia="ru-RU"/>
              </w:rPr>
            </w:pPr>
            <w:r w:rsidRPr="003C7F17">
              <w:rPr>
                <w:rFonts w:ascii="Trebuchet MS" w:eastAsia="Times New Roman" w:hAnsi="Trebuchet MS" w:cs="Times New Roman"/>
                <w:b/>
                <w:bCs/>
                <w:caps/>
                <w:color w:val="FF0000"/>
                <w:kern w:val="36"/>
                <w:sz w:val="36"/>
                <w:szCs w:val="36"/>
                <w:lang w:eastAsia="ru-RU"/>
              </w:rPr>
              <w:t>ПРИНЯТ НОВЫЙ ПОРЯДОК ОРГАНИЗАЦИИ И ОСУЩЕСТВЛЕНИЯ ОБРАЗОВАТЕЛЬНОЙ ДЕЯТЕЛЬНОСТИ ПО ОБРАЗОВАТЕЛЬНЫМ ПРОГРАММАМ ДОШКОЛЬНОГО ОБРАЗОВАНИЯ</w:t>
            </w:r>
          </w:p>
        </w:tc>
      </w:tr>
    </w:tbl>
    <w:p w:rsidR="003C7F17" w:rsidRPr="003C7F17" w:rsidRDefault="003C7F17" w:rsidP="003C7F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  <w:gridCol w:w="11876"/>
      </w:tblGrid>
      <w:tr w:rsidR="003C7F17" w:rsidRPr="003C7F17" w:rsidTr="003C7F17">
        <w:trPr>
          <w:trHeight w:val="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7F17" w:rsidRPr="003C7F17" w:rsidRDefault="003C7F17" w:rsidP="003C7F1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hyperlink r:id="rId4" w:tooltip="Напечатать публикацию" w:history="1">
              <w:r w:rsidRPr="003C7F17">
                <w:rPr>
                  <w:rFonts w:ascii="Trebuchet MS" w:eastAsia="Times New Roman" w:hAnsi="Trebuchet MS" w:cs="Times New Roman"/>
                  <w:sz w:val="18"/>
                  <w:szCs w:val="18"/>
                  <w:bdr w:val="none" w:sz="0" w:space="0" w:color="auto" w:frame="1"/>
                  <w:lang w:eastAsia="ru-RU"/>
                </w:rPr>
                <w:t>Печать</w:t>
              </w:r>
            </w:hyperlink>
          </w:p>
        </w:tc>
      </w:tr>
    </w:tbl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Приказ Министерства просвещения РФ от 31 июля 2020 г.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вступает в силу с 1 января 2021 г.</w:t>
      </w:r>
    </w:p>
    <w:p w:rsidR="003C7F17" w:rsidRDefault="003C7F17" w:rsidP="003C7F17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C7F17">
        <w:rPr>
          <w:rFonts w:ascii="Trebuchet MS" w:eastAsia="Times New Roman" w:hAnsi="Trebuchet MS" w:cs="Times New Roman"/>
          <w:b/>
          <w:bCs/>
          <w:sz w:val="24"/>
          <w:szCs w:val="24"/>
          <w:bdr w:val="none" w:sz="0" w:space="0" w:color="auto" w:frame="1"/>
          <w:lang w:eastAsia="ru-RU"/>
        </w:rPr>
        <w:t>Приказ Министерства просвещения РФ от 31 июля 2020 г. № 373</w:t>
      </w: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3C7F17">
        <w:rPr>
          <w:rFonts w:ascii="Trebuchet MS" w:eastAsia="Times New Roman" w:hAnsi="Trebuchet MS" w:cs="Times New Roman"/>
          <w:b/>
          <w:bCs/>
          <w:sz w:val="24"/>
          <w:szCs w:val="24"/>
          <w:bdr w:val="none" w:sz="0" w:space="0" w:color="auto" w:frame="1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eastAsia="ru-RU"/>
        </w:rPr>
      </w:pP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В соответствии с частью 11 статьи 13 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 и подпунктом 4.2.5 пункта 4 Положения о Министерстве просвещения Российской Федерации, утвержденного постановлением 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1. Утвердить прилагаемый Порядок 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2. Признать утратившими силу: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приказ Министерства образования и науки Российской Федерации от 30 августа 2013 г. N 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Министерством юстиции Российской Федерации 26 сентября 2013 г., регистрационный N 30038);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приказ Министерства просвещения Российской Федерации от 21 января 2019 г. N 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 г. N 1014" (зарегистрирован Министерством юстиции Российской Федерации 25 марта 2019 г., регистрационный N 54158).</w:t>
      </w:r>
    </w:p>
    <w:p w:rsidR="003C7F17" w:rsidRPr="003C7F17" w:rsidRDefault="003C7F17" w:rsidP="003C7F17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3. Настоящий приказ вступает в силу с 1 января 2021 года.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9"/>
        <w:gridCol w:w="4001"/>
      </w:tblGrid>
      <w:tr w:rsidR="003C7F17" w:rsidRPr="003C7F17" w:rsidTr="003C7F17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C7F17" w:rsidRPr="003C7F17" w:rsidRDefault="003C7F17" w:rsidP="003C7F17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 w:rsidRPr="003C7F17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C7F17" w:rsidRPr="003C7F17" w:rsidRDefault="003C7F17" w:rsidP="003C7F17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 w:rsidRPr="003C7F17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3C7F17" w:rsidRPr="003C7F17" w:rsidRDefault="003C7F17" w:rsidP="003C7F17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 Зарегистрировано в Минюсте РФ 31 августа 2020 г.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Регистрационный N 59599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lastRenderedPageBreak/>
        <w:t>Приложение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УТВЕРЖДЕН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br/>
        <w:t>приказом Министерства просвещения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br/>
        <w:t>Российской Федерации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br/>
        <w:t>от 31 июля 2020 г. № 373</w:t>
      </w:r>
    </w:p>
    <w:p w:rsidR="003C7F17" w:rsidRDefault="003C7F17" w:rsidP="003C7F17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b/>
          <w:sz w:val="24"/>
          <w:szCs w:val="24"/>
          <w:lang w:eastAsia="ru-RU"/>
        </w:rPr>
        <w:t>Порядок</w:t>
      </w:r>
      <w:r w:rsidRPr="003C7F17">
        <w:rPr>
          <w:rFonts w:ascii="Trebuchet MS" w:eastAsia="Times New Roman" w:hAnsi="Trebuchet MS" w:cs="Times New Roman"/>
          <w:b/>
          <w:sz w:val="24"/>
          <w:szCs w:val="24"/>
          <w:lang w:eastAsia="ru-RU"/>
        </w:rPr>
        <w:br/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C7F17" w:rsidRPr="003C7F17" w:rsidRDefault="003C7F17" w:rsidP="003C7F17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I. Общие положения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II. Организация и осуществление образовательной деятельности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1</w:t>
      </w: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2</w:t>
      </w: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5. 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</w:t>
      </w: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lastRenderedPageBreak/>
        <w:t>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3</w:t>
      </w: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4.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5.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6</w:t>
      </w: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7</w:t>
      </w: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</w:t>
      </w: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lastRenderedPageBreak/>
        <w:t>и социальную адаптацию воспитанников с ограниченными возможностями здоровья.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В образовательной организации могут быть организованы также: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</w:t>
      </w: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lastRenderedPageBreak/>
        <w:t>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8</w:t>
      </w: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III. Особенности организации образовательной деятельности для лиц с ограниченными возможностями здоровья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абилитации</w:t>
      </w:r>
      <w:proofErr w:type="spellEnd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ребенка-инвалида.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9</w:t>
      </w: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10</w:t>
      </w: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11</w:t>
      </w: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1) для детей с ограниченными возможностями здоровья по зрению: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присутствие ассистента, оказывающего ребенку необходимую помощь;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обеспечение выпуска альтернативных форматов печатных материалов (крупный шрифт) или аудиофайлов;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2) для детей с ограниченными возможностями здоровья по слуху: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обеспечение надлежащими звуковыми средствами воспроизведения информации;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12</w:t>
      </w: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lastRenderedPageBreak/>
        <w:t>Количество детей в группах компенсирующей направленности не должно превышать: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детей с тяжелыми нарушениями речи - 6 детей в возрасте до 3 лет и 10 детей в возрасте старше 3 лет;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детей с фонетико-фонематическими нарушениями речи - 12 детей в возрасте старше 3 лет;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глухих детей - 6 детей для обеих возрастных групп;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слабослышащих детей - 6 детей в возрасте до 3 лет и 8 детей в возрасте старше 3 лет;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слепых детей - 6 детей для обеих возрастных групп;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слабовидящих детей - 6 детей в возрасте до 3 лет и 10 детей в возрасте старше 3 лет;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для детей с </w:t>
      </w:r>
      <w:proofErr w:type="spellStart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амблиопией</w:t>
      </w:r>
      <w:proofErr w:type="spellEnd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, косоглазием - 6 детей в возрасте до 3 лет и 10 детей в возрасте старше 3 лет;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для детей с задержкой </w:t>
      </w:r>
      <w:proofErr w:type="spellStart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психоречевого</w:t>
      </w:r>
      <w:proofErr w:type="spellEnd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развития - 6 детей в возрасте до 3 лет;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детей с задержкой психического развития - 10 детей в возрасте старше 3 лет;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детей с умственной отсталостью легкой степени - 10 детей в возрасте старше 3 лет;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детей с умственной отсталостью умеренной, тяжелой степени - 8 детей в возрасте старше 3 лет;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детей с расстройствами аутистического спектра - 5 детей для обеих возрастных групп;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Количество детей в группах комбинированной направленности не должно превышать: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в возрасте до 3 лет - не более 10 детей, в том числе не более 3 детей с ограниченными возможностями здоровья;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в возрасте старше 3 лет: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не более 15 детей, в том числе не более 4 слабовидящих и (или) детей с </w:t>
      </w:r>
      <w:proofErr w:type="spellStart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амблиопией</w:t>
      </w:r>
      <w:proofErr w:type="spellEnd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lastRenderedPageBreak/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</w:t>
      </w:r>
      <w:proofErr w:type="spellStart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олигофренопедагог</w:t>
      </w:r>
      <w:proofErr w:type="spellEnd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, сурдопедагог, тифлопедагог), учитель-логопед, педагог-психолог, </w:t>
      </w:r>
      <w:proofErr w:type="spellStart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тьютор</w:t>
      </w:r>
      <w:proofErr w:type="spellEnd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, ассистент (помощник) на каждую группу: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для детей с нарушениями зрения (слепых, слабовидящих, с </w:t>
      </w:r>
      <w:proofErr w:type="spellStart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амблиопией</w:t>
      </w:r>
      <w:proofErr w:type="spellEnd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детей с расстройствами аутистического спектра - не менее 0,5 штатной единицы учителя-дефектолога (</w:t>
      </w:r>
      <w:proofErr w:type="spellStart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олигофренопедагога</w:t>
      </w:r>
      <w:proofErr w:type="spellEnd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) и/или педагога-психолога, не менее 0,5 штатной единицы учителя-логопеда;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детей с задержкой психического развития - не менее 1 штатной единицы учителя-дефектолога (</w:t>
      </w:r>
      <w:proofErr w:type="spellStart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олигофренопедагога</w:t>
      </w:r>
      <w:proofErr w:type="spellEnd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) и/или педагога-психолога, не менее 0,5 штатной единицы учителя-логопеда;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детей с умственной отсталостью - не менее 1 штатной единицы учителя-дефектолога (</w:t>
      </w:r>
      <w:proofErr w:type="spellStart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олигофренопедагога</w:t>
      </w:r>
      <w:proofErr w:type="spellEnd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), не менее 0,5 штатной единицы учителя-логопеда и не менее 1 штатной единицы педагога-психолога;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</w:t>
      </w:r>
      <w:proofErr w:type="spellStart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тьютора</w:t>
      </w:r>
      <w:proofErr w:type="spellEnd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.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lastRenderedPageBreak/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</w:t>
      </w:r>
      <w:proofErr w:type="spellStart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олигофренопедагог</w:t>
      </w:r>
      <w:proofErr w:type="spellEnd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, сурдопедагог, тифлопедагог), учитель-логопед, педагог-психолог, </w:t>
      </w:r>
      <w:proofErr w:type="spellStart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тьютор</w:t>
      </w:r>
      <w:proofErr w:type="spellEnd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, ассистент (помощник) из расчета 1 штатная единица: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учителя-дефектолога (сурдопедагога, тифлопедагога, </w:t>
      </w:r>
      <w:proofErr w:type="spellStart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олигофренопедагога</w:t>
      </w:r>
      <w:proofErr w:type="spellEnd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) на каждые 5-12 обучающихся с ограниченными возможностями здоровья;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учителя-логопеда на каждые 5-12 обучающихся с ограниченными возможностями здоровья;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педагога-психолога на каждые 20 обучающихся с ограниченными возможностями здоровья;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proofErr w:type="spellStart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тьютора</w:t>
      </w:r>
      <w:proofErr w:type="spellEnd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на каждые 1-5 обучающихся с ограниченными возможностями здоровья;</w:t>
      </w:r>
    </w:p>
    <w:p w:rsidR="003C7F17" w:rsidRPr="003C7F17" w:rsidRDefault="003C7F17" w:rsidP="003C7F1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ассистента (помощника) на каждые 1-5 обучающихся с ограниченными возможностями здоровья.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13</w:t>
      </w: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Порядок регламентации и оформления отношений государственной и </w:t>
      </w:r>
      <w:proofErr w:type="gramStart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муниципальной образовательной организации</w:t>
      </w:r>
      <w:proofErr w:type="gramEnd"/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14</w:t>
      </w:r>
      <w:r w:rsidRPr="003C7F17">
        <w:rPr>
          <w:rFonts w:ascii="Trebuchet MS" w:eastAsia="Times New Roman" w:hAnsi="Trebuchet MS" w:cs="Times New Roman"/>
          <w:sz w:val="24"/>
          <w:szCs w:val="24"/>
          <w:lang w:eastAsia="ru-RU"/>
        </w:rPr>
        <w:t>.</w:t>
      </w:r>
    </w:p>
    <w:p w:rsidR="003C7F17" w:rsidRPr="003C7F17" w:rsidRDefault="003C7F17" w:rsidP="003C7F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C7F17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 Часть 4 статьи 63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 Часть 5 статьи 63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3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 Часть 2 статьи 15 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696).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4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 Часть 5 статьи 12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5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 Часть 6 статьи 12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6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 Часть 5 статьи 14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lastRenderedPageBreak/>
        <w:t>7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 Часть 2 статьи 64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8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 Часть 3 статьи 64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9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 Пункт 21 приказа Министерства образования и науки Российской Федерации от 20 сентября 2013 г. N 1082 "Об утверждении Положения о психолого-медико-педагогической комиссии" (зарегистрирован Министерством юстиции Российской Федерации 23 октября 2013 г., регистрационный N 30242).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10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 Часть 2 статьи 79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11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 Часть 3 статьи 79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12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 Часть 4 статьи 79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C7F17" w:rsidRPr="003C7F17" w:rsidRDefault="003C7F17" w:rsidP="003C7F1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13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 Часть 5 статьи 41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C7F17" w:rsidRPr="003C7F17" w:rsidRDefault="003C7F17" w:rsidP="003C7F17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14</w:t>
      </w:r>
      <w:r w:rsidRPr="003C7F17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 Часть 6 статьи 41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5D2D4C" w:rsidRPr="003C7F17" w:rsidRDefault="005D2D4C"/>
    <w:sectPr w:rsidR="005D2D4C" w:rsidRPr="003C7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A9"/>
    <w:rsid w:val="003C7F17"/>
    <w:rsid w:val="005D2D4C"/>
    <w:rsid w:val="00C5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74652-78FA-4D5A-9341-F3A80128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7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1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printit(51231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3557</Words>
  <Characters>20275</Characters>
  <Application>Microsoft Office Word</Application>
  <DocSecurity>0</DocSecurity>
  <Lines>168</Lines>
  <Paragraphs>47</Paragraphs>
  <ScaleCrop>false</ScaleCrop>
  <Company/>
  <LinksUpToDate>false</LinksUpToDate>
  <CharactersWithSpaces>23785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2020-10-19T15:34:00Z</dcterms:created>
  <dcterms:modified xsi:type="dcterms:W3CDTF">2020-10-19T15:35:00Z</dcterms:modified>
</cp:coreProperties>
</file>