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81F" w:rsidRDefault="00264498">
      <w:pPr>
        <w:pStyle w:val="Textbody"/>
        <w:spacing w:after="0" w:line="240" w:lineRule="auto"/>
        <w:ind w:left="57"/>
        <w:jc w:val="center"/>
        <w:rPr>
          <w:color w:val="1C1C1C"/>
        </w:rPr>
      </w:pPr>
      <w:r>
        <w:rPr>
          <w:rFonts w:ascii="Times New Roman" w:hAnsi="Times New Roman"/>
          <w:b/>
          <w:color w:val="1C1C1C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1C1C1C"/>
        </w:rPr>
        <w:t xml:space="preserve">  Уголовная ответственность и наказание за угон автотранспортного средства.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 xml:space="preserve">Угон может быть осуществлен путем перемещения транспортного средства с места нахождения любым способом </w:t>
      </w:r>
      <w:r>
        <w:rPr>
          <w:rFonts w:ascii="Times New Roman" w:hAnsi="Times New Roman"/>
          <w:color w:val="1C1C1C"/>
        </w:rPr>
        <w:t>(самоходом, буксировкой).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>Целью угона является намерение использовать чужое транспортное средство в личных интересах.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>Под неправомерным завладением транспортным средством без цели хищения понимается также совершение поездки под управлением владельца или со</w:t>
      </w:r>
      <w:r>
        <w:rPr>
          <w:rFonts w:ascii="Times New Roman" w:hAnsi="Times New Roman"/>
          <w:color w:val="1C1C1C"/>
        </w:rPr>
        <w:t>бственника транспортного средства в результате применения к нему насилия или угрозы применения насилия, поскольку в таком случае указанное лицо лишается возможности распоряжаться транспортным средством по своему усмотрению.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>Под иными транспортными средства</w:t>
      </w:r>
      <w:r>
        <w:rPr>
          <w:rFonts w:ascii="Times New Roman" w:hAnsi="Times New Roman"/>
          <w:color w:val="1C1C1C"/>
        </w:rPr>
        <w:t>ми, за угон которых без цели хищения предусмотрена уголовная ответственность по статье 166 УК РФ, следует понимать транспортные средства, на управление которыми в соответствии с законодательством Российской Федерации предоставляется специальное право (авто</w:t>
      </w:r>
      <w:r>
        <w:rPr>
          <w:rFonts w:ascii="Times New Roman" w:hAnsi="Times New Roman"/>
          <w:color w:val="1C1C1C"/>
        </w:rPr>
        <w:t>бусы, троллейбусы, трамваи, мотоциклы, мопеды, трактора и другие самоходные машины, иные транспортные средства с двигателем внутреннего сгорания или электрическим двигателем, а также маломерные катера, моторные лодки и иные суда). Не являются предметом дан</w:t>
      </w:r>
      <w:r>
        <w:rPr>
          <w:rFonts w:ascii="Times New Roman" w:hAnsi="Times New Roman"/>
          <w:color w:val="1C1C1C"/>
        </w:rPr>
        <w:t>ного преступления суда воздушного и водного транспорта, железнодорожный подвижной состав, а также велосипеды, гребные лодки, гужевой транспорт.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>Действующее законодательство позволяет трактовать угон автомобиля по двум принципиально разным статьям УК РФ – 1</w:t>
      </w:r>
      <w:r>
        <w:rPr>
          <w:rFonts w:ascii="Times New Roman" w:hAnsi="Times New Roman"/>
          <w:color w:val="1C1C1C"/>
        </w:rPr>
        <w:t xml:space="preserve">58 (Кража) и 166 (Неправомерное завладение автомобилем или иным транспортным средством без цели хищения - угон). </w:t>
      </w:r>
      <w:r>
        <w:rPr>
          <w:rFonts w:ascii="Times New Roman" w:hAnsi="Times New Roman"/>
          <w:color w:val="1C1C1C"/>
        </w:rPr>
        <w:br/>
      </w:r>
      <w:r>
        <w:rPr>
          <w:rFonts w:ascii="Times New Roman" w:hAnsi="Times New Roman"/>
          <w:color w:val="1C1C1C"/>
        </w:rPr>
        <w:t>Неправомерное завладения ТС считается оконченным преступлением с того момента, когда автомобиль (транспорт) приведен в движение или угнан с ме</w:t>
      </w:r>
      <w:r>
        <w:rPr>
          <w:rFonts w:ascii="Times New Roman" w:hAnsi="Times New Roman"/>
          <w:color w:val="1C1C1C"/>
        </w:rPr>
        <w:t>ста стоянки иным (любым) способом. </w:t>
      </w:r>
      <w:r>
        <w:rPr>
          <w:rFonts w:ascii="Times New Roman" w:hAnsi="Times New Roman"/>
          <w:color w:val="1C1C1C"/>
        </w:rPr>
        <w:br/>
      </w:r>
      <w:r>
        <w:rPr>
          <w:rFonts w:ascii="Times New Roman" w:hAnsi="Times New Roman"/>
          <w:color w:val="1C1C1C"/>
        </w:rPr>
        <w:t>Обязательным признаком завладения (угона, захвата) является неправомерность, то есть транспортное средство не должно принадлежать виновному на праве личной собственности или находиться в его правомерном владении, либо не</w:t>
      </w:r>
      <w:r>
        <w:rPr>
          <w:rFonts w:ascii="Times New Roman" w:hAnsi="Times New Roman"/>
          <w:color w:val="1C1C1C"/>
        </w:rPr>
        <w:t xml:space="preserve"> закреплено за ним по службе, и он не имеет права им распоряжаться.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>Как показывает практика, угоны совершаются зачастую с целью сбыта автомобиля, его переделки (перекраски, перебивки идентификационных номеров и т.д.) для дальнейшей продажи автомобиля или е</w:t>
      </w:r>
      <w:r>
        <w:rPr>
          <w:rFonts w:ascii="Times New Roman" w:hAnsi="Times New Roman"/>
          <w:color w:val="1C1C1C"/>
        </w:rPr>
        <w:t>го частей. 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>За указанное преступление уголовной ответственности подлежит физическое вменяемое лицо, достигшее ко времени совершения преступления 14-летнего возраста.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>За неправомерное завладение автомобилем или иным транспортным средством без цели хищения п</w:t>
      </w:r>
      <w:r>
        <w:rPr>
          <w:rFonts w:ascii="Times New Roman" w:hAnsi="Times New Roman"/>
          <w:color w:val="1C1C1C"/>
        </w:rPr>
        <w:t>редусмотрена уголовная ответственность в виде штрафа в размере до 120 тысяч рублей или в размере заработной платы или иного дохода осужденного за период до одного года, либо ограничения свободы на срок до трех лет, либо принудительных работ на срок до пяти</w:t>
      </w:r>
      <w:r>
        <w:rPr>
          <w:rFonts w:ascii="Times New Roman" w:hAnsi="Times New Roman"/>
          <w:color w:val="1C1C1C"/>
        </w:rPr>
        <w:t xml:space="preserve"> лет, либо ареста на срок до шести месяцев, либо лишения свободы на срок до пяти лет.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color w:val="1C1C1C"/>
        </w:rPr>
      </w:pPr>
      <w:r>
        <w:rPr>
          <w:rFonts w:ascii="Times New Roman" w:hAnsi="Times New Roman"/>
          <w:color w:val="1C1C1C"/>
        </w:rPr>
        <w:t xml:space="preserve">Если неправомерное завладение автомобилем или иным транспортным средством без цели хищения совершено группой лиц по предварительному сговору, либо с применением насилия, </w:t>
      </w:r>
      <w:r>
        <w:rPr>
          <w:rFonts w:ascii="Times New Roman" w:hAnsi="Times New Roman"/>
          <w:color w:val="1C1C1C"/>
        </w:rPr>
        <w:t>не опасного для жизни или здоровья, либо с угрозой применения такого насилия, то уголовная ответственность наступает по части 2 статьи 166 УК РФ, санкция которой предусматривает наказание в виде штрафа в размере до 200 тысяч рублей или в размере заработной</w:t>
      </w:r>
      <w:r>
        <w:rPr>
          <w:rFonts w:ascii="Times New Roman" w:hAnsi="Times New Roman"/>
          <w:color w:val="1C1C1C"/>
        </w:rPr>
        <w:t xml:space="preserve"> платы или иного дохода осужденного за период до 18 месяцев, либо принудительных работ на срок до пяти лет, либо лишения свободы на срок до семи лет.</w:t>
      </w:r>
    </w:p>
    <w:p w:rsidR="00AD081F" w:rsidRDefault="00264498">
      <w:pPr>
        <w:pStyle w:val="Textbody"/>
        <w:spacing w:after="0" w:line="240" w:lineRule="auto"/>
        <w:ind w:left="57" w:firstLine="709"/>
        <w:jc w:val="both"/>
        <w:rPr>
          <w:rFonts w:ascii="Times New Roman" w:hAnsi="Times New Roman"/>
          <w:color w:val="1C1C1C"/>
        </w:rPr>
      </w:pPr>
      <w:r>
        <w:rPr>
          <w:rFonts w:ascii="Times New Roman" w:hAnsi="Times New Roman"/>
          <w:color w:val="1C1C1C"/>
        </w:rPr>
        <w:t>Дела о неправомерном завладении автомобилем или иным транспортным средством относятся к категории достаточ</w:t>
      </w:r>
      <w:r>
        <w:rPr>
          <w:rFonts w:ascii="Times New Roman" w:hAnsi="Times New Roman"/>
          <w:color w:val="1C1C1C"/>
        </w:rPr>
        <w:t>но распространенных уголовных дел, количество которых не уменьшается. </w:t>
      </w:r>
      <w:r>
        <w:rPr>
          <w:rFonts w:ascii="Times New Roman" w:hAnsi="Times New Roman"/>
          <w:color w:val="1C1C1C"/>
        </w:rPr>
        <w:t xml:space="preserve"> </w:t>
      </w:r>
      <w:r>
        <w:rPr>
          <w:rFonts w:ascii="Times New Roman" w:hAnsi="Times New Roman"/>
          <w:color w:val="1C1C1C"/>
        </w:rPr>
        <w:t>Анализ практики рассмотрения уголовных дел о неправомерном завладении автотранспортными средствами без цели хищения показывает, что в целом закон об ответственности лиц, совершивших уго</w:t>
      </w:r>
      <w:r>
        <w:rPr>
          <w:rFonts w:ascii="Times New Roman" w:hAnsi="Times New Roman"/>
          <w:color w:val="1C1C1C"/>
        </w:rPr>
        <w:t>ны, применяется правильно, действия виновных квалифицируются с учетом содеянного и требований, установленных Уголовным кодексом и постановлением Пленума Верховного Суда РФ от 09.12.2008 № 25 "О судебной практике по делам о преступлениях, связанных с наруше</w:t>
      </w:r>
      <w:r>
        <w:rPr>
          <w:rFonts w:ascii="Times New Roman" w:hAnsi="Times New Roman"/>
          <w:color w:val="1C1C1C"/>
        </w:rPr>
        <w:t>нием правил дорожного движения и эксплуатации транспортных средств, а также с их неправомерным завладением без цели хищения".</w:t>
      </w:r>
    </w:p>
    <w:p w:rsidR="00AD081F" w:rsidRDefault="00264498">
      <w:pPr>
        <w:pStyle w:val="Textbody"/>
        <w:spacing w:after="0" w:line="240" w:lineRule="auto"/>
        <w:ind w:left="57"/>
        <w:jc w:val="both"/>
        <w:rPr>
          <w:rFonts w:ascii="Times New Roman" w:hAnsi="Times New Roman"/>
          <w:color w:val="1C1C1C"/>
          <w:sz w:val="24"/>
          <w:szCs w:val="24"/>
        </w:rPr>
      </w:pPr>
      <w:r>
        <w:rPr>
          <w:rFonts w:ascii="Times New Roman" w:hAnsi="Times New Roman"/>
          <w:color w:val="1C1C1C"/>
          <w:sz w:val="24"/>
          <w:szCs w:val="24"/>
        </w:rPr>
        <w:t> </w:t>
      </w:r>
    </w:p>
    <w:p w:rsidR="00AD081F" w:rsidRDefault="00264498">
      <w:pPr>
        <w:pStyle w:val="Standard"/>
        <w:spacing w:after="0" w:line="240" w:lineRule="auto"/>
        <w:ind w:left="57"/>
        <w:jc w:val="both"/>
        <w:rPr>
          <w:color w:val="1C1C1C"/>
        </w:rPr>
      </w:pPr>
      <w:r>
        <w:rPr>
          <w:rFonts w:ascii="Times New Roman" w:hAnsi="Times New Roman" w:cs="Times New Roman"/>
          <w:i/>
          <w:color w:val="1C1C1C"/>
        </w:rPr>
        <w:t xml:space="preserve"> Подготовил: помощник прокурора района                 В.О. Иванов</w:t>
      </w:r>
    </w:p>
    <w:sectPr w:rsidR="00AD081F">
      <w:pgSz w:w="11906" w:h="16838"/>
      <w:pgMar w:top="709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64498">
      <w:pPr>
        <w:spacing w:after="0" w:line="240" w:lineRule="auto"/>
      </w:pPr>
      <w:r>
        <w:separator/>
      </w:r>
    </w:p>
  </w:endnote>
  <w:endnote w:type="continuationSeparator" w:id="0">
    <w:p w:rsidR="00000000" w:rsidRDefault="0026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644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264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D7244"/>
    <w:multiLevelType w:val="multilevel"/>
    <w:tmpl w:val="C5B420C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466837E3"/>
    <w:multiLevelType w:val="multilevel"/>
    <w:tmpl w:val="8EF03AB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4F2A41A0"/>
    <w:multiLevelType w:val="multilevel"/>
    <w:tmpl w:val="D3EC7C74"/>
    <w:styleLink w:val="WWNum2"/>
    <w:lvl w:ilvl="0">
      <w:numFmt w:val="bullet"/>
      <w:lvlText w:val="o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o"/>
      <w:lvlJc w:val="left"/>
      <w:pPr>
        <w:ind w:left="2160" w:hanging="360"/>
      </w:pPr>
      <w:rPr>
        <w:sz w:val="20"/>
      </w:rPr>
    </w:lvl>
    <w:lvl w:ilvl="3">
      <w:numFmt w:val="bullet"/>
      <w:lvlText w:val="o"/>
      <w:lvlJc w:val="left"/>
      <w:pPr>
        <w:ind w:left="2880" w:hanging="360"/>
      </w:pPr>
      <w:rPr>
        <w:sz w:val="20"/>
      </w:rPr>
    </w:lvl>
    <w:lvl w:ilvl="4">
      <w:numFmt w:val="bullet"/>
      <w:lvlText w:val="o"/>
      <w:lvlJc w:val="left"/>
      <w:pPr>
        <w:ind w:left="3600" w:hanging="360"/>
      </w:pPr>
      <w:rPr>
        <w:sz w:val="20"/>
      </w:rPr>
    </w:lvl>
    <w:lvl w:ilvl="5">
      <w:numFmt w:val="bullet"/>
      <w:lvlText w:val="o"/>
      <w:lvlJc w:val="left"/>
      <w:pPr>
        <w:ind w:left="4320" w:hanging="360"/>
      </w:pPr>
      <w:rPr>
        <w:sz w:val="20"/>
      </w:rPr>
    </w:lvl>
    <w:lvl w:ilvl="6">
      <w:numFmt w:val="bullet"/>
      <w:lvlText w:val="o"/>
      <w:lvlJc w:val="left"/>
      <w:pPr>
        <w:ind w:left="5040" w:hanging="360"/>
      </w:pPr>
      <w:rPr>
        <w:sz w:val="20"/>
      </w:rPr>
    </w:lvl>
    <w:lvl w:ilvl="7">
      <w:numFmt w:val="bullet"/>
      <w:lvlText w:val="o"/>
      <w:lvlJc w:val="left"/>
      <w:pPr>
        <w:ind w:left="5760" w:hanging="360"/>
      </w:pPr>
      <w:rPr>
        <w:sz w:val="20"/>
      </w:rPr>
    </w:lvl>
    <w:lvl w:ilvl="8">
      <w:numFmt w:val="bullet"/>
      <w:lvlText w:val="o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681541D6"/>
    <w:multiLevelType w:val="multilevel"/>
    <w:tmpl w:val="C332DA26"/>
    <w:styleLink w:val="WWNum3"/>
    <w:lvl w:ilvl="0">
      <w:numFmt w:val="bullet"/>
      <w:lvlText w:val="o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o"/>
      <w:lvlJc w:val="left"/>
      <w:pPr>
        <w:ind w:left="2160" w:hanging="360"/>
      </w:pPr>
      <w:rPr>
        <w:sz w:val="20"/>
      </w:rPr>
    </w:lvl>
    <w:lvl w:ilvl="3">
      <w:numFmt w:val="bullet"/>
      <w:lvlText w:val="o"/>
      <w:lvlJc w:val="left"/>
      <w:pPr>
        <w:ind w:left="2880" w:hanging="360"/>
      </w:pPr>
      <w:rPr>
        <w:sz w:val="20"/>
      </w:rPr>
    </w:lvl>
    <w:lvl w:ilvl="4">
      <w:numFmt w:val="bullet"/>
      <w:lvlText w:val="o"/>
      <w:lvlJc w:val="left"/>
      <w:pPr>
        <w:ind w:left="3600" w:hanging="360"/>
      </w:pPr>
      <w:rPr>
        <w:sz w:val="20"/>
      </w:rPr>
    </w:lvl>
    <w:lvl w:ilvl="5">
      <w:numFmt w:val="bullet"/>
      <w:lvlText w:val="o"/>
      <w:lvlJc w:val="left"/>
      <w:pPr>
        <w:ind w:left="4320" w:hanging="360"/>
      </w:pPr>
      <w:rPr>
        <w:sz w:val="20"/>
      </w:rPr>
    </w:lvl>
    <w:lvl w:ilvl="6">
      <w:numFmt w:val="bullet"/>
      <w:lvlText w:val="o"/>
      <w:lvlJc w:val="left"/>
      <w:pPr>
        <w:ind w:left="5040" w:hanging="360"/>
      </w:pPr>
      <w:rPr>
        <w:sz w:val="20"/>
      </w:rPr>
    </w:lvl>
    <w:lvl w:ilvl="7">
      <w:numFmt w:val="bullet"/>
      <w:lvlText w:val="o"/>
      <w:lvlJc w:val="left"/>
      <w:pPr>
        <w:ind w:left="5760" w:hanging="360"/>
      </w:pPr>
      <w:rPr>
        <w:sz w:val="20"/>
      </w:rPr>
    </w:lvl>
    <w:lvl w:ilvl="8">
      <w:numFmt w:val="bullet"/>
      <w:lvlText w:val="o"/>
      <w:lvlJc w:val="left"/>
      <w:pPr>
        <w:ind w:left="6480" w:hanging="360"/>
      </w:pPr>
      <w:rPr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081F"/>
    <w:rsid w:val="00264498"/>
    <w:rsid w:val="00A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7936"/>
  <w15:docId w15:val="{E15FAE52-1418-465B-852C-CB1E3B25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  <w:lang/>
    </w:rPr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Кержина Ольга Викторовна</cp:lastModifiedBy>
  <cp:revision>2</cp:revision>
  <cp:lastPrinted>2024-05-21T22:07:00Z</cp:lastPrinted>
  <dcterms:created xsi:type="dcterms:W3CDTF">2024-05-21T19:08:00Z</dcterms:created>
  <dcterms:modified xsi:type="dcterms:W3CDTF">2024-05-21T19:08:00Z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Прокуратура РФ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