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AE0" w:rsidRDefault="00F85126" w:rsidP="00C64022">
      <w:pPr>
        <w:jc w:val="both"/>
        <w:rPr>
          <w:rFonts w:ascii="Times New Roman" w:hAnsi="Times New Roman"/>
          <w:sz w:val="32"/>
        </w:rPr>
      </w:pPr>
      <w:r>
        <w:rPr>
          <w:sz w:val="32"/>
        </w:rPr>
        <w:t xml:space="preserve">Антикоррупционное просвещение обучающихся и родителей               </w:t>
      </w:r>
      <w:r w:rsidR="00C64022">
        <w:rPr>
          <w:sz w:val="32"/>
        </w:rPr>
        <w:t xml:space="preserve">                           </w:t>
      </w:r>
      <w:proofErr w:type="gramStart"/>
      <w:r w:rsidR="00C64022">
        <w:rPr>
          <w:sz w:val="32"/>
        </w:rPr>
        <w:t xml:space="preserve">   </w:t>
      </w:r>
      <w:r w:rsidR="00A53A86">
        <w:rPr>
          <w:sz w:val="32"/>
        </w:rPr>
        <w:t>(</w:t>
      </w:r>
      <w:bookmarkStart w:id="0" w:name="_GoBack"/>
      <w:bookmarkEnd w:id="0"/>
      <w:proofErr w:type="gramEnd"/>
      <w:r>
        <w:rPr>
          <w:sz w:val="32"/>
        </w:rPr>
        <w:t>законных представителей).</w:t>
      </w:r>
    </w:p>
    <w:p w:rsidR="00574AE0" w:rsidRDefault="00574AE0" w:rsidP="00C64022">
      <w:pPr>
        <w:jc w:val="both"/>
        <w:rPr>
          <w:sz w:val="32"/>
        </w:rPr>
      </w:pPr>
    </w:p>
    <w:p w:rsidR="00574AE0" w:rsidRDefault="00F85126" w:rsidP="00C64022">
      <w:pPr>
        <w:jc w:val="both"/>
      </w:pPr>
      <w:r>
        <w:rPr>
          <w:noProof/>
        </w:rPr>
        <w:drawing>
          <wp:inline distT="0" distB="0" distL="0" distR="0">
            <wp:extent cx="5940424" cy="2970212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0424" cy="297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E0" w:rsidRDefault="00574AE0" w:rsidP="00C64022">
      <w:pPr>
        <w:jc w:val="both"/>
      </w:pPr>
    </w:p>
    <w:p w:rsidR="00574AE0" w:rsidRDefault="00574AE0" w:rsidP="00C64022">
      <w:pPr>
        <w:jc w:val="both"/>
      </w:pPr>
    </w:p>
    <w:p w:rsidR="00574AE0" w:rsidRDefault="00F85126" w:rsidP="00C64022">
      <w:pPr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На данной странице вы можете узнать о мероприятиях по антикоррупционному просвещению в целях формирования нетерпимого </w:t>
      </w:r>
      <w:r>
        <w:rPr>
          <w:rFonts w:ascii="Times New Roman" w:hAnsi="Times New Roman"/>
          <w:color w:val="333333"/>
          <w:sz w:val="28"/>
          <w:highlight w:val="white"/>
        </w:rPr>
        <w:t>отношения к коррупции и антикоррупционных стандартов поведения участников образовательных отношений (обучающихся, родителей, законных представителей несовершеннолетних обучающихся), основанных на знаниях общих нрав и обязанностей.</w:t>
      </w:r>
    </w:p>
    <w:p w:rsidR="00574AE0" w:rsidRDefault="00F85126" w:rsidP="00C64022">
      <w:pPr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FF0000"/>
          <w:sz w:val="28"/>
          <w:highlight w:val="white"/>
        </w:rPr>
        <w:t>Коррупция</w:t>
      </w:r>
      <w:r>
        <w:rPr>
          <w:rFonts w:ascii="Times New Roman" w:hAnsi="Times New Roman"/>
          <w:color w:val="333333"/>
          <w:sz w:val="28"/>
          <w:highlight w:val="white"/>
        </w:rPr>
        <w:t> — это угроза об</w:t>
      </w:r>
      <w:r>
        <w:rPr>
          <w:rFonts w:ascii="Times New Roman" w:hAnsi="Times New Roman"/>
          <w:color w:val="333333"/>
          <w:sz w:val="28"/>
          <w:highlight w:val="white"/>
        </w:rPr>
        <w:t xml:space="preserve">ществу и государству, это </w:t>
      </w:r>
      <w:proofErr w:type="gramStart"/>
      <w:r>
        <w:rPr>
          <w:rFonts w:ascii="Times New Roman" w:hAnsi="Times New Roman"/>
          <w:color w:val="333333"/>
          <w:sz w:val="28"/>
          <w:highlight w:val="white"/>
        </w:rPr>
        <w:t>явление</w:t>
      </w:r>
      <w:proofErr w:type="gramEnd"/>
      <w:r>
        <w:rPr>
          <w:rFonts w:ascii="Times New Roman" w:hAnsi="Times New Roman"/>
          <w:color w:val="333333"/>
          <w:sz w:val="28"/>
          <w:highlight w:val="white"/>
        </w:rPr>
        <w:t xml:space="preserve"> которое наносит ущерб полному и всестороннему развитию любого общества. В законодательстве Российской Федерации под коррупцией понимается злоупотребление служебным положением, дача взятки, получение взятки, злоупотребление</w:t>
      </w:r>
      <w:r>
        <w:rPr>
          <w:rFonts w:ascii="Times New Roman" w:hAnsi="Times New Roman"/>
          <w:color w:val="333333"/>
          <w:sz w:val="28"/>
          <w:highlight w:val="white"/>
        </w:rPr>
        <w:t xml:space="preserve">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</w:t>
      </w:r>
      <w:r>
        <w:rPr>
          <w:rFonts w:ascii="Times New Roman" w:hAnsi="Times New Roman"/>
          <w:color w:val="333333"/>
          <w:sz w:val="28"/>
          <w:highlight w:val="white"/>
        </w:rPr>
        <w:t xml:space="preserve">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Коррупция подрывает </w:t>
      </w:r>
      <w:proofErr w:type="gramStart"/>
      <w:r>
        <w:rPr>
          <w:rFonts w:ascii="Times New Roman" w:hAnsi="Times New Roman"/>
          <w:color w:val="333333"/>
          <w:sz w:val="28"/>
          <w:highlight w:val="white"/>
        </w:rPr>
        <w:t>авторитет государственной службы</w:t>
      </w:r>
      <w:proofErr w:type="gramEnd"/>
      <w:r>
        <w:rPr>
          <w:rFonts w:ascii="Times New Roman" w:hAnsi="Times New Roman"/>
          <w:color w:val="333333"/>
          <w:sz w:val="28"/>
          <w:highlight w:val="white"/>
        </w:rPr>
        <w:t xml:space="preserve"> и борьба с данным явлением является на сегодняшни</w:t>
      </w:r>
      <w:r>
        <w:rPr>
          <w:rFonts w:ascii="Times New Roman" w:hAnsi="Times New Roman"/>
          <w:color w:val="333333"/>
          <w:sz w:val="28"/>
          <w:highlight w:val="white"/>
        </w:rPr>
        <w:t>й день одной из самых актуальных направлений деятельности для государства.</w:t>
      </w:r>
    </w:p>
    <w:p w:rsidR="00574AE0" w:rsidRDefault="00F85126" w:rsidP="00C64022">
      <w:pPr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В соответствии со статьей 6 Федерального закона от 25.12.2008 № 273-ФЗ «О противодействии </w:t>
      </w:r>
      <w:proofErr w:type="gramStart"/>
      <w:r>
        <w:rPr>
          <w:rFonts w:ascii="Times New Roman" w:hAnsi="Times New Roman"/>
          <w:color w:val="333333"/>
          <w:sz w:val="28"/>
          <w:highlight w:val="white"/>
        </w:rPr>
        <w:t>коррупции»  основной</w:t>
      </w:r>
      <w:proofErr w:type="gramEnd"/>
      <w:r>
        <w:rPr>
          <w:rFonts w:ascii="Times New Roman" w:hAnsi="Times New Roman"/>
          <w:color w:val="333333"/>
          <w:sz w:val="28"/>
          <w:highlight w:val="white"/>
        </w:rPr>
        <w:t xml:space="preserve"> мерой по профилактике коррупции </w:t>
      </w:r>
      <w:r>
        <w:rPr>
          <w:rFonts w:ascii="Times New Roman" w:hAnsi="Times New Roman"/>
          <w:color w:val="333333"/>
          <w:sz w:val="28"/>
          <w:highlight w:val="white"/>
        </w:rPr>
        <w:lastRenderedPageBreak/>
        <w:t>является формирование в обществе нетер</w:t>
      </w:r>
      <w:r>
        <w:rPr>
          <w:rFonts w:ascii="Times New Roman" w:hAnsi="Times New Roman"/>
          <w:color w:val="333333"/>
          <w:sz w:val="28"/>
          <w:highlight w:val="white"/>
        </w:rPr>
        <w:t>пимости к коррупционному поведению. Реализация данной меры связана с повышением уровня правовой культуры, что достигается осуществлением правового воспитания.</w:t>
      </w:r>
    </w:p>
    <w:p w:rsidR="00574AE0" w:rsidRDefault="00F85126" w:rsidP="00C64022">
      <w:pPr>
        <w:jc w:val="both"/>
        <w:rPr>
          <w:rFonts w:ascii="Arial" w:hAnsi="Arial"/>
          <w:color w:val="333333"/>
          <w:sz w:val="20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Правовое воспитание можно определить как целенаправленную деятельность государства, а также общес</w:t>
      </w:r>
      <w:r>
        <w:rPr>
          <w:rFonts w:ascii="Times New Roman" w:hAnsi="Times New Roman"/>
          <w:color w:val="333333"/>
          <w:sz w:val="28"/>
          <w:highlight w:val="white"/>
        </w:rPr>
        <w:t>твенных структур, средств массовой информации, трудовых коллективов по формированию высокого правосознания и правовой культуры граждан.</w:t>
      </w:r>
      <w:r>
        <w:rPr>
          <w:rFonts w:ascii="Arial" w:hAnsi="Arial"/>
          <w:noProof/>
          <w:color w:val="333333"/>
          <w:sz w:val="20"/>
          <w:highlight w:val="white"/>
        </w:rPr>
        <w:drawing>
          <wp:inline distT="0" distB="0" distL="0" distR="0">
            <wp:extent cx="5940424" cy="4455319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40424" cy="44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E0" w:rsidRDefault="00574AE0" w:rsidP="00C64022">
      <w:pPr>
        <w:jc w:val="both"/>
        <w:rPr>
          <w:rFonts w:ascii="Arial" w:hAnsi="Arial"/>
          <w:color w:val="333333"/>
          <w:sz w:val="20"/>
          <w:highlight w:val="white"/>
        </w:rPr>
      </w:pPr>
    </w:p>
    <w:p w:rsidR="00574AE0" w:rsidRDefault="00F85126" w:rsidP="00C64022">
      <w:pPr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 Антикоррупционная направленность правового воспитания основана на повышении в обществе, в целом, позитивного отношени</w:t>
      </w:r>
      <w:r>
        <w:rPr>
          <w:rFonts w:ascii="Times New Roman" w:hAnsi="Times New Roman"/>
          <w:color w:val="333333"/>
          <w:sz w:val="28"/>
        </w:rPr>
        <w:t xml:space="preserve">я к праву и его соблюдению; повышении уровня правовых знаний, в том числе, о коррупционных формах поведения и мерах по их предотвращению; формировании у государственных, муниципальных служащих и у граждан представления о мерах юридической ответственности, </w:t>
      </w:r>
      <w:r>
        <w:rPr>
          <w:rFonts w:ascii="Times New Roman" w:hAnsi="Times New Roman"/>
          <w:color w:val="333333"/>
          <w:sz w:val="28"/>
        </w:rPr>
        <w:t>которые могут применяться в случае совершения коррупционных правонарушений.</w:t>
      </w:r>
    </w:p>
    <w:p w:rsidR="00574AE0" w:rsidRDefault="00574AE0" w:rsidP="00C64022">
      <w:pPr>
        <w:jc w:val="both"/>
        <w:rPr>
          <w:rFonts w:ascii="Arial" w:hAnsi="Arial"/>
          <w:color w:val="444444"/>
          <w:sz w:val="20"/>
          <w:highlight w:val="white"/>
        </w:rPr>
      </w:pPr>
    </w:p>
    <w:p w:rsidR="00574AE0" w:rsidRDefault="00574AE0" w:rsidP="00C64022">
      <w:pPr>
        <w:jc w:val="both"/>
        <w:rPr>
          <w:rFonts w:ascii="Arial" w:hAnsi="Arial"/>
          <w:color w:val="444444"/>
          <w:sz w:val="20"/>
          <w:highlight w:val="white"/>
        </w:rPr>
      </w:pPr>
    </w:p>
    <w:p w:rsidR="00574AE0" w:rsidRDefault="00574AE0" w:rsidP="00C64022">
      <w:pPr>
        <w:jc w:val="both"/>
        <w:rPr>
          <w:rFonts w:ascii="Times New Roman" w:hAnsi="Times New Roman"/>
          <w:color w:val="444444"/>
          <w:sz w:val="28"/>
          <w:highlight w:val="white"/>
        </w:rPr>
      </w:pPr>
    </w:p>
    <w:p w:rsidR="00574AE0" w:rsidRDefault="00574AE0" w:rsidP="00C64022">
      <w:pPr>
        <w:jc w:val="both"/>
        <w:rPr>
          <w:rFonts w:ascii="Times New Roman" w:hAnsi="Times New Roman"/>
          <w:color w:val="444444"/>
          <w:sz w:val="28"/>
          <w:highlight w:val="white"/>
        </w:rPr>
      </w:pPr>
    </w:p>
    <w:p w:rsidR="00574AE0" w:rsidRDefault="00574AE0" w:rsidP="00C64022">
      <w:pPr>
        <w:jc w:val="both"/>
        <w:rPr>
          <w:rFonts w:ascii="Times New Roman" w:hAnsi="Times New Roman"/>
          <w:color w:val="444444"/>
          <w:sz w:val="28"/>
          <w:highlight w:val="white"/>
        </w:rPr>
      </w:pPr>
    </w:p>
    <w:p w:rsidR="00574AE0" w:rsidRDefault="00F85126" w:rsidP="00C64022">
      <w:pPr>
        <w:jc w:val="both"/>
        <w:rPr>
          <w:rFonts w:ascii="Times New Roman" w:hAnsi="Times New Roman"/>
          <w:color w:val="444444"/>
          <w:sz w:val="28"/>
          <w:highlight w:val="white"/>
        </w:rPr>
      </w:pPr>
      <w:r>
        <w:rPr>
          <w:rFonts w:ascii="Times New Roman" w:hAnsi="Times New Roman"/>
          <w:b/>
          <w:color w:val="990000"/>
          <w:sz w:val="28"/>
          <w:highlight w:val="white"/>
        </w:rPr>
        <w:lastRenderedPageBreak/>
        <w:t>Основными формами реализации правового антикоррупционного воспитания являются:</w:t>
      </w:r>
    </w:p>
    <w:p w:rsidR="00574AE0" w:rsidRDefault="00574AE0" w:rsidP="00C64022">
      <w:pPr>
        <w:jc w:val="both"/>
        <w:rPr>
          <w:rFonts w:ascii="Times New Roman" w:hAnsi="Times New Roman"/>
          <w:color w:val="444444"/>
          <w:sz w:val="28"/>
          <w:highlight w:val="white"/>
        </w:rPr>
      </w:pPr>
    </w:p>
    <w:p w:rsidR="00574AE0" w:rsidRDefault="00F85126" w:rsidP="00C64022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333333"/>
          <w:sz w:val="28"/>
          <w:highlight w:val="white"/>
        </w:rPr>
      </w:pPr>
      <w:proofErr w:type="spellStart"/>
      <w:r>
        <w:rPr>
          <w:rFonts w:ascii="Times New Roman" w:hAnsi="Times New Roman"/>
          <w:color w:val="333333"/>
          <w:sz w:val="28"/>
          <w:highlight w:val="white"/>
        </w:rPr>
        <w:t>антикорруционное</w:t>
      </w:r>
      <w:proofErr w:type="spellEnd"/>
      <w:r>
        <w:rPr>
          <w:rFonts w:ascii="Times New Roman" w:hAnsi="Times New Roman"/>
          <w:color w:val="333333"/>
          <w:sz w:val="28"/>
          <w:highlight w:val="white"/>
        </w:rPr>
        <w:t xml:space="preserve"> образование, т.е. формирование нетерпимости к коррупционному поведению в </w:t>
      </w:r>
      <w:r>
        <w:rPr>
          <w:rFonts w:ascii="Times New Roman" w:hAnsi="Times New Roman"/>
          <w:color w:val="333333"/>
          <w:sz w:val="28"/>
          <w:highlight w:val="white"/>
        </w:rPr>
        <w:t>рамках обучающих программ школьного, высшего, послевузовского и дополнительного образования;</w:t>
      </w:r>
    </w:p>
    <w:p w:rsidR="00574AE0" w:rsidRDefault="00F85126" w:rsidP="00C64022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антикоррупционная пропаганда, прежде всего через средства массовой информации, в том числе с использованием социальной рекламы;</w:t>
      </w:r>
    </w:p>
    <w:p w:rsidR="00574AE0" w:rsidRDefault="00F85126" w:rsidP="00C64022">
      <w:pPr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проведение органами государственной</w:t>
      </w:r>
      <w:r>
        <w:rPr>
          <w:rFonts w:ascii="Times New Roman" w:hAnsi="Times New Roman"/>
          <w:color w:val="333333"/>
          <w:sz w:val="28"/>
          <w:highlight w:val="white"/>
        </w:rPr>
        <w:t xml:space="preserve"> власти и местного самоуправления различных мероприятий (слушаний, совещаний, семинаров, конференций и др.) антикоррупционной направленности.</w:t>
      </w:r>
    </w:p>
    <w:p w:rsidR="00574AE0" w:rsidRDefault="00F85126" w:rsidP="00C64022">
      <w:pPr>
        <w:jc w:val="both"/>
        <w:rPr>
          <w:rFonts w:ascii="Times New Roman" w:hAnsi="Times New Roman"/>
          <w:color w:val="444444"/>
          <w:sz w:val="28"/>
          <w:highlight w:val="white"/>
        </w:rPr>
      </w:pPr>
      <w:r>
        <w:rPr>
          <w:rFonts w:ascii="Times New Roman" w:hAnsi="Times New Roman"/>
          <w:b/>
          <w:color w:val="CC0000"/>
          <w:sz w:val="28"/>
          <w:highlight w:val="white"/>
        </w:rPr>
        <w:t>Целью антикоррупционного воспитания</w:t>
      </w:r>
      <w:r>
        <w:rPr>
          <w:rFonts w:ascii="Times New Roman" w:hAnsi="Times New Roman"/>
          <w:color w:val="333333"/>
          <w:sz w:val="28"/>
          <w:highlight w:val="white"/>
        </w:rPr>
        <w:t xml:space="preserve"> является воспитание ценностных установок и развитие способностей, необходимых </w:t>
      </w:r>
      <w:r>
        <w:rPr>
          <w:rFonts w:ascii="Times New Roman" w:hAnsi="Times New Roman"/>
          <w:color w:val="333333"/>
          <w:sz w:val="28"/>
          <w:highlight w:val="white"/>
        </w:rPr>
        <w:t>для формирования у молодых людей гражданской позиции в отношении коррупции, формирование негативного отношения к коррупционным проявлениям.</w:t>
      </w:r>
    </w:p>
    <w:p w:rsidR="00574AE0" w:rsidRDefault="00F85126" w:rsidP="00C64022">
      <w:pPr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Антикоррупционная пропаганда также важное условие противодействия коррупции. Она включает в </w:t>
      </w:r>
      <w:proofErr w:type="gramStart"/>
      <w:r>
        <w:rPr>
          <w:rFonts w:ascii="Times New Roman" w:hAnsi="Times New Roman"/>
          <w:color w:val="333333"/>
          <w:sz w:val="28"/>
          <w:highlight w:val="white"/>
        </w:rPr>
        <w:t>себя  проведение</w:t>
      </w:r>
      <w:proofErr w:type="gramEnd"/>
      <w:r>
        <w:rPr>
          <w:rFonts w:ascii="Times New Roman" w:hAnsi="Times New Roman"/>
          <w:color w:val="333333"/>
          <w:sz w:val="28"/>
          <w:highlight w:val="white"/>
        </w:rPr>
        <w:t xml:space="preserve"> меропри</w:t>
      </w:r>
      <w:r>
        <w:rPr>
          <w:rFonts w:ascii="Times New Roman" w:hAnsi="Times New Roman"/>
          <w:color w:val="333333"/>
          <w:sz w:val="28"/>
          <w:highlight w:val="white"/>
        </w:rPr>
        <w:t>ятий по организации антикоррупционного образования, направленных на формирование антикоррупционного мировоззрения.</w:t>
      </w:r>
    </w:p>
    <w:p w:rsidR="00574AE0" w:rsidRDefault="00F85126" w:rsidP="00C64022">
      <w:pPr>
        <w:jc w:val="both"/>
        <w:rPr>
          <w:rFonts w:ascii="Times New Roman" w:hAnsi="Times New Roman"/>
          <w:color w:val="444444"/>
          <w:sz w:val="28"/>
          <w:highlight w:val="white"/>
        </w:rPr>
      </w:pPr>
      <w:r>
        <w:rPr>
          <w:rFonts w:ascii="Times New Roman" w:hAnsi="Times New Roman"/>
          <w:b/>
          <w:color w:val="CC0000"/>
          <w:sz w:val="28"/>
          <w:highlight w:val="white"/>
        </w:rPr>
        <w:t>К задачам антикоррупционного воспитания и пропаганды относятся</w:t>
      </w:r>
      <w:r>
        <w:rPr>
          <w:rFonts w:ascii="Times New Roman" w:hAnsi="Times New Roman"/>
          <w:color w:val="333333"/>
          <w:sz w:val="28"/>
          <w:highlight w:val="white"/>
        </w:rPr>
        <w:t> ознакомление граждан с сутью, причинами, последствиями коррупции, поощрение не</w:t>
      </w:r>
      <w:r>
        <w:rPr>
          <w:rFonts w:ascii="Times New Roman" w:hAnsi="Times New Roman"/>
          <w:color w:val="333333"/>
          <w:sz w:val="28"/>
          <w:highlight w:val="white"/>
        </w:rPr>
        <w:t>терпимости к проявлениям коррупции, демонстрирование возможности борьбы с коррупцией.</w:t>
      </w:r>
    </w:p>
    <w:p w:rsidR="00574AE0" w:rsidRDefault="00F85126" w:rsidP="00C64022">
      <w:pPr>
        <w:jc w:val="both"/>
        <w:rPr>
          <w:rFonts w:ascii="Times New Roman" w:hAnsi="Times New Roman"/>
          <w:color w:val="444444"/>
          <w:sz w:val="28"/>
          <w:highlight w:val="white"/>
        </w:rPr>
      </w:pPr>
      <w:r>
        <w:rPr>
          <w:rFonts w:ascii="Times New Roman" w:hAnsi="Times New Roman"/>
          <w:b/>
          <w:color w:val="CC0000"/>
          <w:sz w:val="28"/>
          <w:highlight w:val="white"/>
        </w:rPr>
        <w:t>Основной результат антикоррупционного воспитания</w:t>
      </w:r>
      <w:r>
        <w:rPr>
          <w:rFonts w:ascii="Times New Roman" w:hAnsi="Times New Roman"/>
          <w:color w:val="CC0000"/>
          <w:sz w:val="28"/>
          <w:highlight w:val="white"/>
        </w:rPr>
        <w:t> </w:t>
      </w:r>
      <w:r>
        <w:rPr>
          <w:rFonts w:ascii="Times New Roman" w:hAnsi="Times New Roman"/>
          <w:color w:val="333333"/>
          <w:sz w:val="28"/>
          <w:highlight w:val="white"/>
        </w:rPr>
        <w:t xml:space="preserve">видится в подготовке человека, способного выполнять властные полномочия или взаимодействовать с представителями властных </w:t>
      </w:r>
      <w:r>
        <w:rPr>
          <w:rFonts w:ascii="Times New Roman" w:hAnsi="Times New Roman"/>
          <w:color w:val="333333"/>
          <w:sz w:val="28"/>
          <w:highlight w:val="white"/>
        </w:rPr>
        <w:t>структур на правовой основе, избегая подкупа, взяточничества и других неправомерных действий.</w:t>
      </w:r>
    </w:p>
    <w:p w:rsidR="00574AE0" w:rsidRDefault="00F85126" w:rsidP="00C64022">
      <w:pPr>
        <w:spacing w:after="150"/>
        <w:jc w:val="both"/>
        <w:rPr>
          <w:rFonts w:ascii="Times New Roman" w:hAnsi="Times New Roman"/>
          <w:i/>
          <w:color w:val="666666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br/>
      </w: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p w:rsidR="00574AE0" w:rsidRDefault="00574AE0" w:rsidP="00C64022">
      <w:pPr>
        <w:spacing w:after="150"/>
        <w:jc w:val="both"/>
        <w:rPr>
          <w:rFonts w:ascii="Georgia" w:hAnsi="Georgia"/>
          <w:i/>
          <w:color w:val="666666"/>
          <w:sz w:val="30"/>
          <w:highlight w:val="white"/>
        </w:rPr>
      </w:pPr>
    </w:p>
    <w:sectPr w:rsidR="00574AE0">
      <w:headerReference w:type="default" r:id="rId9"/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26" w:rsidRDefault="00F85126">
      <w:pPr>
        <w:spacing w:line="240" w:lineRule="auto"/>
      </w:pPr>
      <w:r>
        <w:separator/>
      </w:r>
    </w:p>
  </w:endnote>
  <w:endnote w:type="continuationSeparator" w:id="0">
    <w:p w:rsidR="00F85126" w:rsidRDefault="00F85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26" w:rsidRDefault="00F85126">
      <w:pPr>
        <w:spacing w:line="240" w:lineRule="auto"/>
      </w:pPr>
      <w:r>
        <w:separator/>
      </w:r>
    </w:p>
  </w:footnote>
  <w:footnote w:type="continuationSeparator" w:id="0">
    <w:p w:rsidR="00F85126" w:rsidRDefault="00F851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AE0" w:rsidRDefault="00574AE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6F62"/>
    <w:multiLevelType w:val="multilevel"/>
    <w:tmpl w:val="84C298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E0"/>
    <w:rsid w:val="00574AE0"/>
    <w:rsid w:val="00A53A86"/>
    <w:rsid w:val="00C64022"/>
    <w:rsid w:val="00F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FFAF"/>
  <w15:docId w15:val="{F771FB27-5B43-4899-9CA8-EF35572E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link w:val="10"/>
    <w:rPr>
      <w:b/>
      <w:sz w:val="32"/>
    </w:rPr>
  </w:style>
  <w:style w:type="character" w:customStyle="1" w:styleId="20">
    <w:name w:val="Заголовок 2 Знак"/>
    <w:link w:val="2"/>
    <w:rPr>
      <w:b/>
      <w:color w:val="00A0FF"/>
      <w:sz w:val="26"/>
    </w:rPr>
  </w:style>
  <w:style w:type="character" w:customStyle="1" w:styleId="30">
    <w:name w:val="Заголовок 3 Знак"/>
    <w:link w:val="3"/>
    <w:rPr>
      <w:b/>
      <w:i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  <w:rPr>
      <w:rFonts w:ascii="XO Thames" w:hAnsi="XO Thames"/>
      <w:sz w:val="24"/>
    </w:rPr>
  </w:style>
  <w:style w:type="paragraph" w:styleId="a3">
    <w:name w:val="Title"/>
    <w:link w:val="a4"/>
    <w:uiPriority w:val="10"/>
    <w:qFormat/>
    <w:rPr>
      <w:b/>
      <w:sz w:val="52"/>
    </w:rPr>
  </w:style>
  <w:style w:type="character" w:customStyle="1" w:styleId="a4">
    <w:name w:val="Заголовок Знак"/>
    <w:link w:val="a3"/>
    <w:rPr>
      <w:b/>
      <w:sz w:val="52"/>
    </w:rPr>
  </w:style>
  <w:style w:type="paragraph" w:styleId="a5">
    <w:name w:val="Subtitle"/>
    <w:basedOn w:val="a"/>
    <w:link w:val="a6"/>
    <w:uiPriority w:val="11"/>
    <w:qFormat/>
    <w:rPr>
      <w:i/>
      <w:color w:val="616161"/>
    </w:rPr>
  </w:style>
  <w:style w:type="character" w:customStyle="1" w:styleId="a6">
    <w:name w:val="Подзаголовок Знак"/>
    <w:basedOn w:val="1"/>
    <w:link w:val="a5"/>
    <w:rPr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color w:val="757575"/>
      <w:sz w:val="20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17">
    <w:name w:val="toc 1"/>
    <w:link w:val="18"/>
    <w:uiPriority w:val="39"/>
    <w:rPr>
      <w:b/>
    </w:rPr>
  </w:style>
  <w:style w:type="character" w:customStyle="1" w:styleId="18">
    <w:name w:val="Оглавление 1 Знак"/>
    <w:link w:val="17"/>
    <w:rPr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7">
    <w:name w:val="Balloon Text"/>
    <w:basedOn w:val="a"/>
    <w:link w:val="a8"/>
    <w:pPr>
      <w:spacing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2020-12-15T06:56:00Z</dcterms:created>
  <dcterms:modified xsi:type="dcterms:W3CDTF">2020-12-15T06:56:00Z</dcterms:modified>
</cp:coreProperties>
</file>