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0F" w:rsidRDefault="00AD4CAD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Информационно-техническое оснащение</w:t>
      </w:r>
    </w:p>
    <w:p w:rsidR="00FE070F" w:rsidRDefault="00AD4CA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Информационно-образовательное пространство школы охватывает всех участников образовательного процесса. В школе реализуется программа Информатизации УВП. Она позволяет обеспечить новое качество образовательных услуг. </w:t>
      </w:r>
      <w:r>
        <w:rPr>
          <w:rFonts w:ascii="Times New Roman" w:hAnsi="Times New Roman"/>
          <w:sz w:val="24"/>
        </w:rPr>
        <w:t>Применение электронных образовательных ресурсов нового поколения позволяет реализовать педагогическому коллективу школы инновационные задачи: добиться принципиальных изменений результатов образования, реализовать возможности создания индивидуальных образов</w:t>
      </w:r>
      <w:r>
        <w:rPr>
          <w:rFonts w:ascii="Times New Roman" w:hAnsi="Times New Roman"/>
          <w:sz w:val="24"/>
        </w:rPr>
        <w:t>ательных программ.</w:t>
      </w:r>
    </w:p>
    <w:p w:rsidR="00FE070F" w:rsidRDefault="00AD4CA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Учителя школы используют на практике мультимедиа и Интернет-ресурсы. Уроки с применением ИКТ, компьютерной техники, интерактивных досок, медиа-ресурсов стали традиционными уроками.</w:t>
      </w:r>
    </w:p>
    <w:p w:rsidR="00FE070F" w:rsidRDefault="00AD4CA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последние пять лет обновлена техника во всех кабинета</w:t>
      </w:r>
      <w:r>
        <w:rPr>
          <w:rFonts w:ascii="Times New Roman" w:hAnsi="Times New Roman"/>
          <w:sz w:val="24"/>
        </w:rPr>
        <w:t xml:space="preserve">х. Интернет и </w:t>
      </w:r>
      <w:proofErr w:type="spellStart"/>
      <w:r>
        <w:rPr>
          <w:rFonts w:ascii="Times New Roman" w:hAnsi="Times New Roman"/>
          <w:sz w:val="24"/>
        </w:rPr>
        <w:t>Wi-Fi</w:t>
      </w:r>
      <w:proofErr w:type="spellEnd"/>
      <w:r>
        <w:rPr>
          <w:rFonts w:ascii="Times New Roman" w:hAnsi="Times New Roman"/>
          <w:sz w:val="24"/>
        </w:rPr>
        <w:t xml:space="preserve"> доступны во всех зданиях школы.  Продолжается работа по модернизации локальной сети школы.</w:t>
      </w:r>
    </w:p>
    <w:p w:rsidR="00FE070F" w:rsidRDefault="00AD4CA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Материальная составляющая инфраструктуры направлена на изменение качества условий обучения и воспитания. Школьное пространство должно быть функци</w:t>
      </w:r>
      <w:r>
        <w:rPr>
          <w:rFonts w:ascii="Times New Roman" w:hAnsi="Times New Roman"/>
          <w:sz w:val="24"/>
        </w:rPr>
        <w:t>онально и эстетически грамотно спланировано, должно обеспечивать физическую и психологическую безопасность, не должно содержать рисков для здоровья.</w:t>
      </w:r>
    </w:p>
    <w:p w:rsidR="00FE070F" w:rsidRDefault="00FE070F">
      <w:pPr>
        <w:ind w:firstLine="708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2"/>
        <w:gridCol w:w="6584"/>
      </w:tblGrid>
      <w:tr w:rsidR="00FE070F">
        <w:trPr>
          <w:trHeight w:val="4192"/>
        </w:trPr>
        <w:tc>
          <w:tcPr>
            <w:tcW w:w="282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Здание школы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здания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зал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658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E070F" w:rsidRDefault="00AD4CA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1971 год постройки.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здании два блок</w:t>
            </w:r>
            <w:r>
              <w:rPr>
                <w:rFonts w:ascii="Times New Roman" w:hAnsi="Times New Roman"/>
                <w:sz w:val="24"/>
              </w:rPr>
              <w:t>а: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классов основного и среднего образования, спортивный блок.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Требуется капитальный ремонт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Площадь  учебных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кабинетов – 445,2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,  в наличии актовый зал, мастерские технического и обслуживающего труда.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1257,2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128,</w:t>
            </w:r>
            <w:proofErr w:type="gramStart"/>
            <w:r>
              <w:rPr>
                <w:rFonts w:ascii="Times New Roman" w:hAnsi="Times New Roman"/>
                <w:sz w:val="24"/>
              </w:rPr>
              <w:t>2  м</w:t>
            </w:r>
            <w:proofErr w:type="gramEnd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FE070F">
        <w:trPr>
          <w:trHeight w:val="3884"/>
        </w:trPr>
        <w:tc>
          <w:tcPr>
            <w:tcW w:w="282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начальной </w:t>
            </w:r>
            <w:r>
              <w:rPr>
                <w:rFonts w:ascii="Times New Roman" w:hAnsi="Times New Roman"/>
                <w:sz w:val="24"/>
              </w:rPr>
              <w:t>школы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здания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Столовая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8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E070F" w:rsidRDefault="00AD4CA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1978 год постройки.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здании блок классов начального образования, столовая.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Требуется капитальный ремонт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Площадь  учебных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кабинетов – 214,3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,  в наличии кабинет психолога, логопеда.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553,1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74,5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FE070F">
        <w:trPr>
          <w:trHeight w:val="3587"/>
        </w:trPr>
        <w:tc>
          <w:tcPr>
            <w:tcW w:w="2822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Здание класса-гаража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площадь здания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584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E070F" w:rsidRDefault="00AD4CA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1981 год постройки.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здании кабинет обслуживающего труда, библиотека, гараж.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Требуется капитальный ремонт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Площадь  учебных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кабинетов – 81,5 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409,5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67,3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  <w:p w:rsidR="00FE070F" w:rsidRDefault="00FE070F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</w:tbl>
    <w:p w:rsidR="00FE070F" w:rsidRDefault="00FE070F">
      <w:pPr>
        <w:ind w:firstLine="708"/>
        <w:jc w:val="both"/>
        <w:rPr>
          <w:rFonts w:ascii="Times New Roman" w:hAnsi="Times New Roman"/>
          <w:sz w:val="24"/>
        </w:rPr>
      </w:pPr>
    </w:p>
    <w:p w:rsidR="00FE070F" w:rsidRDefault="00AD4CA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школе 15 учебных </w:t>
      </w:r>
      <w:r>
        <w:rPr>
          <w:rFonts w:ascii="Times New Roman" w:hAnsi="Times New Roman"/>
          <w:sz w:val="24"/>
        </w:rPr>
        <w:t xml:space="preserve">кабинетов, 1 спортивный </w:t>
      </w:r>
      <w:proofErr w:type="gramStart"/>
      <w:r>
        <w:rPr>
          <w:rFonts w:ascii="Times New Roman" w:hAnsi="Times New Roman"/>
          <w:sz w:val="24"/>
        </w:rPr>
        <w:t>зал  мастерская</w:t>
      </w:r>
      <w:proofErr w:type="gramEnd"/>
      <w:r>
        <w:rPr>
          <w:rFonts w:ascii="Times New Roman" w:hAnsi="Times New Roman"/>
          <w:sz w:val="24"/>
        </w:rPr>
        <w:t xml:space="preserve"> по обработке металла и древесины, мастерская обслуживающих видов труда: кабинет кулинарии оборудован современной мебелью, бытовой техникой, включая холодильник. проведено водоснабжение, библиотека, столовая на 72 пос</w:t>
      </w:r>
      <w:r>
        <w:rPr>
          <w:rFonts w:ascii="Times New Roman" w:hAnsi="Times New Roman"/>
          <w:sz w:val="24"/>
        </w:rPr>
        <w:t>адочных мест, кабинет педагога психолога, логопеда.</w:t>
      </w:r>
    </w:p>
    <w:p w:rsidR="00FE070F" w:rsidRDefault="00AD4CAD">
      <w:pPr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Материально-техническое обеспечение образовательного процесса.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6"/>
        <w:gridCol w:w="5985"/>
      </w:tblGrid>
      <w:tr w:rsidR="00FE070F">
        <w:tc>
          <w:tcPr>
            <w:tcW w:w="3586" w:type="dxa"/>
            <w:shd w:val="clear" w:color="auto" w:fill="auto"/>
          </w:tcPr>
          <w:p w:rsidR="00FE070F" w:rsidRDefault="00AD4CA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Библиотека</w:t>
            </w:r>
          </w:p>
          <w:p w:rsidR="00FE070F" w:rsidRDefault="00FE070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985" w:type="dxa"/>
            <w:shd w:val="clear" w:color="auto" w:fill="auto"/>
          </w:tcPr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расположена в отдельном здании класса-гаража. Включает в себя следующие зоны: компьютерная - читальный зал, зона</w:t>
            </w:r>
            <w:r>
              <w:rPr>
                <w:rFonts w:ascii="Times New Roman" w:hAnsi="Times New Roman"/>
                <w:sz w:val="24"/>
              </w:rPr>
              <w:t xml:space="preserve"> выдачи книг, книгохранилище для учебной и </w:t>
            </w:r>
            <w:proofErr w:type="gramStart"/>
            <w:r>
              <w:rPr>
                <w:rFonts w:ascii="Times New Roman" w:hAnsi="Times New Roman"/>
                <w:sz w:val="24"/>
              </w:rPr>
              <w:t>художественной  литературы</w:t>
            </w:r>
            <w:proofErr w:type="gramEnd"/>
          </w:p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библиотекаря оборудовано компьютером, МФУ.</w:t>
            </w:r>
          </w:p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читальном зале оборудован мобильный класс, для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обучающихся,  где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есть выход в интернет.</w:t>
            </w:r>
          </w:p>
          <w:p w:rsidR="00FE070F" w:rsidRDefault="00AD4CA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книжный фонд – 14059 экземпляра,</w:t>
            </w:r>
          </w:p>
          <w:p w:rsidR="00FE070F" w:rsidRDefault="00AD4CA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них:</w:t>
            </w:r>
          </w:p>
          <w:p w:rsidR="00FE070F" w:rsidRDefault="00AD4C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учебники – 7702 экземпляров,</w:t>
            </w:r>
          </w:p>
          <w:p w:rsidR="00FE070F" w:rsidRDefault="00AD4C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пособия – 1828 экземпляра,</w:t>
            </w:r>
          </w:p>
          <w:p w:rsidR="00FE070F" w:rsidRDefault="00AD4CAD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художественная литература – 3974 экземпляров,</w:t>
            </w:r>
          </w:p>
          <w:p w:rsidR="00FE070F" w:rsidRDefault="00AD4CAD">
            <w:pPr>
              <w:pStyle w:val="Standar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справочная литература – </w:t>
            </w:r>
            <w:r>
              <w:rPr>
                <w:rFonts w:ascii="Times New Roman" w:hAnsi="Times New Roman"/>
                <w:b/>
                <w:sz w:val="24"/>
              </w:rPr>
              <w:t>534</w:t>
            </w:r>
            <w:r>
              <w:rPr>
                <w:rFonts w:ascii="Times New Roman" w:hAnsi="Times New Roman"/>
                <w:sz w:val="24"/>
              </w:rPr>
              <w:t xml:space="preserve"> экземпляров,</w:t>
            </w:r>
          </w:p>
          <w:p w:rsidR="00FE070F" w:rsidRDefault="00FE070F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hd w:val="clear" w:color="auto" w:fill="CDCDCD"/>
              </w:rPr>
            </w:pPr>
          </w:p>
          <w:p w:rsidR="00FE070F" w:rsidRDefault="00AD4CAD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фонд библиотеки формируется за счет средств федерального, республиканского, местного бюджета и б</w:t>
            </w:r>
            <w:r>
              <w:rPr>
                <w:rFonts w:ascii="Times New Roman" w:hAnsi="Times New Roman"/>
                <w:sz w:val="24"/>
              </w:rPr>
              <w:t>лаготворительной помощи.</w:t>
            </w:r>
          </w:p>
        </w:tc>
      </w:tr>
      <w:tr w:rsidR="00FE070F">
        <w:tc>
          <w:tcPr>
            <w:tcW w:w="3586" w:type="dxa"/>
            <w:shd w:val="clear" w:color="auto" w:fill="auto"/>
          </w:tcPr>
          <w:p w:rsidR="00FE070F" w:rsidRDefault="00AD4CA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Спортивные сооружения</w:t>
            </w:r>
          </w:p>
        </w:tc>
        <w:tc>
          <w:tcPr>
            <w:tcW w:w="5985" w:type="dxa"/>
            <w:shd w:val="clear" w:color="auto" w:fill="auto"/>
          </w:tcPr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Школа имеет открытую спортивную площадку, которую необходимо </w:t>
            </w:r>
            <w:proofErr w:type="gramStart"/>
            <w:r>
              <w:rPr>
                <w:rFonts w:ascii="Times New Roman" w:hAnsi="Times New Roman"/>
                <w:sz w:val="24"/>
              </w:rPr>
              <w:t>благоустроить  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оборудовать.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Спортивный зал</w:t>
            </w:r>
            <w:r>
              <w:rPr>
                <w:rFonts w:ascii="Times New Roman" w:hAnsi="Times New Roman"/>
                <w:sz w:val="24"/>
              </w:rPr>
              <w:t xml:space="preserve"> школы - </w:t>
            </w:r>
            <w:r>
              <w:rPr>
                <w:rFonts w:ascii="Times New Roman" w:hAnsi="Times New Roman"/>
                <w:sz w:val="24"/>
              </w:rPr>
              <w:t>128,2 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Вспомогательные помещения: 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тренерская;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раздевалка для девочек;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раздевалка для </w:t>
            </w:r>
            <w:r>
              <w:rPr>
                <w:rFonts w:ascii="Times New Roman" w:hAnsi="Times New Roman"/>
                <w:sz w:val="24"/>
              </w:rPr>
              <w:t>мальчиков;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снарядная.</w:t>
            </w:r>
          </w:p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Имеется необходимое спортивное оборудование.</w:t>
            </w:r>
          </w:p>
          <w:p w:rsidR="00FE070F" w:rsidRDefault="00FE070F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070F">
        <w:tc>
          <w:tcPr>
            <w:tcW w:w="3586" w:type="dxa"/>
            <w:shd w:val="clear" w:color="auto" w:fill="auto"/>
          </w:tcPr>
          <w:p w:rsidR="00FE070F" w:rsidRDefault="00AD4CA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Условия питания</w:t>
            </w:r>
          </w:p>
        </w:tc>
        <w:tc>
          <w:tcPr>
            <w:tcW w:w="5985" w:type="dxa"/>
            <w:shd w:val="clear" w:color="auto" w:fill="auto"/>
          </w:tcPr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Питание организовано на базе школьной столовой, рассчитанной на 72 мест. Организация питания осуществляется за счет родительских средств, за счет средств целевой субсиди</w:t>
            </w:r>
            <w:r>
              <w:rPr>
                <w:rFonts w:ascii="Times New Roman" w:hAnsi="Times New Roman"/>
                <w:sz w:val="24"/>
              </w:rPr>
              <w:t xml:space="preserve">и, переданной из бюджета </w:t>
            </w:r>
            <w:proofErr w:type="spellStart"/>
            <w:r>
              <w:rPr>
                <w:rFonts w:ascii="Times New Roman" w:hAnsi="Times New Roman"/>
                <w:sz w:val="24"/>
              </w:rPr>
              <w:t>Питкярантского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на организацию питания учащихся из малообеспеченных семей и детей, находящихся в трудной жизненной ситуации, ребёнка - инвалида, детей с </w:t>
            </w:r>
            <w:proofErr w:type="gramStart"/>
            <w:r>
              <w:rPr>
                <w:rFonts w:ascii="Times New Roman" w:hAnsi="Times New Roman"/>
                <w:sz w:val="24"/>
              </w:rPr>
              <w:t>ОВЗ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детей </w:t>
            </w:r>
            <w:r>
              <w:rPr>
                <w:rFonts w:ascii="Times New Roman" w:hAnsi="Times New Roman"/>
                <w:color w:val="2C2D2E"/>
                <w:sz w:val="24"/>
                <w:highlight w:val="white"/>
              </w:rPr>
              <w:t>из семей граждан, призванных на военную служб</w:t>
            </w:r>
            <w:r>
              <w:rPr>
                <w:rFonts w:ascii="Times New Roman" w:hAnsi="Times New Roman"/>
                <w:color w:val="2C2D2E"/>
                <w:sz w:val="24"/>
                <w:highlight w:val="white"/>
              </w:rPr>
              <w:t>у, а так же граждан Российской Федерации, направленных для обеспечения выполнения задач в ходе специальной военной операции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питания регламентируется ежегодно. В 2023-</w:t>
            </w:r>
            <w:proofErr w:type="gramStart"/>
            <w:r>
              <w:rPr>
                <w:rFonts w:ascii="Times New Roman" w:hAnsi="Times New Roman"/>
                <w:sz w:val="24"/>
              </w:rPr>
              <w:t>2024  учебном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году стоимость питания составляет: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Завтрак – 95 руб., обед – 125 руб. 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столовой установлено новое технологическое оборудование.</w:t>
            </w:r>
          </w:p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2024 году 180 человек (100%) охвачено горячим питанием.</w:t>
            </w:r>
          </w:p>
        </w:tc>
      </w:tr>
      <w:tr w:rsidR="00FE070F">
        <w:tc>
          <w:tcPr>
            <w:tcW w:w="3586" w:type="dxa"/>
            <w:shd w:val="clear" w:color="auto" w:fill="auto"/>
          </w:tcPr>
          <w:p w:rsidR="00FE070F" w:rsidRDefault="00AD4CA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Медицинское обслуживание</w:t>
            </w:r>
          </w:p>
        </w:tc>
        <w:tc>
          <w:tcPr>
            <w:tcW w:w="5985" w:type="dxa"/>
            <w:shd w:val="clear" w:color="auto" w:fill="auto"/>
          </w:tcPr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Медицинское обслуживание обучающихся осуществляется по соглашению о медицинском обеспечении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  образова</w:t>
            </w:r>
            <w:r>
              <w:rPr>
                <w:rFonts w:ascii="Times New Roman" w:hAnsi="Times New Roman"/>
                <w:sz w:val="24"/>
              </w:rPr>
              <w:t>тельного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учреждения  между школой и ГБУЗ РК "</w:t>
            </w:r>
            <w:proofErr w:type="spellStart"/>
            <w:r>
              <w:rPr>
                <w:rFonts w:ascii="Times New Roman" w:hAnsi="Times New Roman"/>
                <w:sz w:val="24"/>
              </w:rPr>
              <w:t>Питкярантская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ЦРБ"</w:t>
            </w:r>
          </w:p>
        </w:tc>
      </w:tr>
      <w:tr w:rsidR="00FE070F">
        <w:tc>
          <w:tcPr>
            <w:tcW w:w="3586" w:type="dxa"/>
            <w:shd w:val="clear" w:color="auto" w:fill="auto"/>
          </w:tcPr>
          <w:p w:rsidR="00FE070F" w:rsidRDefault="00AD4CA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Информатизация</w:t>
            </w:r>
          </w:p>
          <w:p w:rsidR="00FE070F" w:rsidRDefault="00FE070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E070F" w:rsidRDefault="00FE070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Технологическая оснащенность</w:t>
            </w:r>
          </w:p>
        </w:tc>
        <w:tc>
          <w:tcPr>
            <w:tcW w:w="5985" w:type="dxa"/>
            <w:shd w:val="clear" w:color="auto" w:fill="auto"/>
          </w:tcPr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Школа имеет </w:t>
            </w:r>
            <w:r>
              <w:rPr>
                <w:rFonts w:ascii="Times New Roman" w:hAnsi="Times New Roman"/>
                <w:b/>
                <w:sz w:val="24"/>
              </w:rPr>
              <w:t>один кабинет информатики</w:t>
            </w:r>
            <w:r>
              <w:rPr>
                <w:rFonts w:ascii="Times New Roman" w:hAnsi="Times New Roman"/>
                <w:sz w:val="24"/>
              </w:rPr>
              <w:t xml:space="preserve"> – 14 компьютеров, 2 ноутбуков, современная интерактивная панель, 2 МФУ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Систематически производится обновл</w:t>
            </w:r>
            <w:r>
              <w:rPr>
                <w:rFonts w:ascii="Times New Roman" w:hAnsi="Times New Roman"/>
                <w:sz w:val="24"/>
              </w:rPr>
              <w:t>ение материально технической базы – устаревшие компьютеры заменяются на новые. В каждом из кабинетов оборудованы рабочие места учеников и рабочее место учителя. Установлены мультимедийный проектор, интерактивная доска, МФУ.</w:t>
            </w:r>
          </w:p>
          <w:p w:rsidR="00FE070F" w:rsidRDefault="00FE070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компьютеров – 67 (в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39 ноутбуков). 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них используется: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учебном процессе – 60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том числе 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кабинетах информатики – 14. 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кабинете психолога, логопеда – 2; </w:t>
            </w:r>
          </w:p>
          <w:p w:rsidR="00FE070F" w:rsidRDefault="00AD4CA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административной деятельности – 7 (в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 5 ноутбука);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Принтеры –3, МФУ-28 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мультимедийные проекторы – 16; 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интерактивные доски – 14;</w:t>
            </w:r>
          </w:p>
          <w:p w:rsidR="00FE070F" w:rsidRDefault="00AD4C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Документ-камера – 10. </w:t>
            </w:r>
          </w:p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Кабинеты 1-4 классов оборудованы по требованиям ФГОС – 4 кабинета.</w:t>
            </w:r>
          </w:p>
        </w:tc>
      </w:tr>
      <w:tr w:rsidR="00FE070F">
        <w:tc>
          <w:tcPr>
            <w:tcW w:w="3586" w:type="dxa"/>
            <w:shd w:val="clear" w:color="auto" w:fill="auto"/>
          </w:tcPr>
          <w:p w:rsidR="00FE070F" w:rsidRDefault="00AD4C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Доступ к информационным системам и информационно-телекоммуникационным сетям</w:t>
            </w:r>
          </w:p>
        </w:tc>
        <w:tc>
          <w:tcPr>
            <w:tcW w:w="5985" w:type="dxa"/>
            <w:shd w:val="clear" w:color="auto" w:fill="auto"/>
          </w:tcPr>
          <w:p w:rsidR="00FE070F" w:rsidRDefault="00AD4C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Внутри школы создана локальная </w:t>
            </w:r>
            <w:r>
              <w:rPr>
                <w:rFonts w:ascii="Times New Roman" w:hAnsi="Times New Roman"/>
                <w:sz w:val="24"/>
              </w:rPr>
              <w:t>сеть, посредством которой осуществляется доступ в сеть Интернет из всех кабинетов школы.</w:t>
            </w:r>
          </w:p>
        </w:tc>
      </w:tr>
    </w:tbl>
    <w:p w:rsidR="00FE070F" w:rsidRDefault="00FE070F"/>
    <w:sectPr w:rsidR="00FE070F">
      <w:pgSz w:w="11906" w:h="16838"/>
      <w:pgMar w:top="1134" w:right="850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6DAD"/>
    <w:multiLevelType w:val="multilevel"/>
    <w:tmpl w:val="8BD25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0F"/>
    <w:rsid w:val="00AD4CAD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E940C-9C96-4972-9396-3FDA4D10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Standard">
    <w:name w:val="Standard"/>
    <w:link w:val="Standard0"/>
    <w:pPr>
      <w:spacing w:after="160" w:line="264" w:lineRule="auto"/>
    </w:pPr>
    <w:rPr>
      <w:sz w:val="22"/>
    </w:rPr>
  </w:style>
  <w:style w:type="character" w:customStyle="1" w:styleId="Standard0">
    <w:name w:val="Standard"/>
    <w:link w:val="Standard"/>
    <w:rPr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2024-11-26T13:28:00Z</dcterms:created>
  <dcterms:modified xsi:type="dcterms:W3CDTF">2024-11-26T13:29:00Z</dcterms:modified>
</cp:coreProperties>
</file>