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E0" w:rsidRDefault="00540DE0" w:rsidP="00540DE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540DE0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ПАМЯТКА</w:t>
      </w:r>
    </w:p>
    <w:p w:rsidR="00540DE0" w:rsidRPr="00540DE0" w:rsidRDefault="00540DE0" w:rsidP="00540DE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540DE0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 xml:space="preserve"> по противодействию попыткам вовлечения обучающихся в террористическую и экстремистскую деятельность</w:t>
      </w:r>
    </w:p>
    <w:p w:rsidR="00540DE0" w:rsidRPr="00540DE0" w:rsidRDefault="00540DE0" w:rsidP="00540DE0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2B74B1"/>
          <w:sz w:val="20"/>
          <w:szCs w:val="20"/>
          <w:lang w:eastAsia="ru-RU"/>
        </w:rPr>
      </w:pPr>
    </w:p>
    <w:p w:rsidR="00540DE0" w:rsidRPr="00540DE0" w:rsidRDefault="00540DE0" w:rsidP="00540DE0">
      <w:pPr>
        <w:shd w:val="clear" w:color="auto" w:fill="FFFFFF"/>
        <w:spacing w:before="30" w:line="240" w:lineRule="auto"/>
        <w:textAlignment w:val="top"/>
        <w:rPr>
          <w:rFonts w:ascii="Arial" w:eastAsia="Times New Roman" w:hAnsi="Arial" w:cs="Arial"/>
          <w:color w:val="2B74B1"/>
          <w:sz w:val="20"/>
          <w:szCs w:val="20"/>
          <w:lang w:eastAsia="ru-RU"/>
        </w:rPr>
      </w:pP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В социальных сетях и мессенджерах провокаторы склоняют россиян к терроризму и другим серьезным преступлениям. В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гpyппe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риска — подростки и молодежь.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Вовлекать юных граждан в террористическую деятельность злоумышленникам намного легче, чем заставить сделать нечто противозаконное зрелого человека. Личностная незрелость, отсутствие жизненного опыта, непонимание глубинных политических процессов сливается с излишней эмоциональностью, импульсивностью, желанием проявить себя, почувствовать свою принадлежность к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гpyппe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. В силу свойственной этому возрасту самоуверенности они чаще склонны считать, что могут не попасться правоохранительных органам и уйти от ответственности.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Большинство вербовщиков — тонкие психологи, обученные техникам и методикам воздействия на психику людей. Для вербовщиков не существует «грязных» методов — сгодится все, что может способствовать их делу. Спектр воздействия чрезвычайно широк: от психологических манипуляций и пропаганды до прямых угроз и шантажа. Главным инструментом вербовки в террористские организации в современное время стали социальные сети и мессенджеры, основными потребителями контента которых является молодежь. Для подростков и молодых людей свойственно вести свои страницы открыто, они чаще публикуют персональную информацию, демонстрируют те или иные свои взгляды, ярко реагируют на тот или иной политический или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околополитический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контент, при этом не всегда могут отличить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фейковые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новости от реальных.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Соцсети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позволяют провокаторам свободно собирать интересующие их данные и еще на этапе планирования «вербовки» анализировать личные страницы потенциальных жертв, выбирая тех людей, которые демонстрируют активность, определенные политические, религиозные или иные взгляды, и в то же время не имеют четких личностных позиций.</w:t>
      </w: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br/>
      </w: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br/>
      </w:r>
      <w:r w:rsidRPr="00540DE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РОДИТЕЛЯМ ВАЖНО: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lastRenderedPageBreak/>
        <w:t>- заранее проинформировать детей и подростков обо всех возможных рисках и угрозах сети «Интернет», в том числе о наличии активной деятельности по вербовке в террористические организации;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научить ребенка не отвечать на сомнительные предложения и сообщения в социальных сетях и быть подозрительным, если требуют сохранить тайну переписки (общения) и не сообщать родителям;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- спрашивать или аккуратно проверять с кем ведёт переписку ребёнок </w:t>
      </w:r>
      <w:proofErr w:type="gram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в личных сообщениям</w:t>
      </w:r>
      <w:proofErr w:type="gram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обращать внимание на поведение и новые интересы ребёнка: аниме, депрессивная литература, специализированные книги об оружии и стрельбе;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- обращать внимание, если ребенок в реальной жизни выполняет задания, полученные в сети «Интернет», так называемые,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челленджи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. Они могут содержать опасные для здоровья действия;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создавать семейные традиции, возможности для получения позитивных эмоций вне сети «Интернет» (путешествия, выставки, музеи, походы, праздники, творчество, хобби), комфортные условия проживания и позитивные взаимоотношения с ребенком;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поддерживать контакты с друзьями и одноклассниками ребенка, а также их родителям.</w:t>
      </w: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br/>
      </w: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br/>
      </w:r>
      <w:r w:rsidRPr="00540DE0">
        <w:rPr>
          <w:rFonts w:ascii="Times New Roman" w:eastAsia="Times New Roman" w:hAnsi="Times New Roman" w:cs="Times New Roman"/>
          <w:b/>
          <w:bCs/>
          <w:color w:val="050624"/>
          <w:sz w:val="27"/>
          <w:szCs w:val="27"/>
          <w:lang w:eastAsia="ru-RU"/>
        </w:rPr>
        <w:t>КАК РЕАГИРОВАТЬ ПОДРОСТКУ?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br/>
        <w:t>- сообщать о любых предложениях и (или) подозрительных новых знакомых родителям или педагогам;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- прежде чем </w:t>
      </w:r>
      <w:proofErr w:type="spellStart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репостить</w:t>
      </w:r>
      <w:proofErr w:type="spellEnd"/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 xml:space="preserve"> какую-то информацию в социальной сети, проверьте на сайте Министерства юстиции Российской Федерации, вдруг она внесена в список запрещённых;</w:t>
      </w:r>
    </w:p>
    <w:p w:rsidR="00540DE0" w:rsidRPr="00540DE0" w:rsidRDefault="00540DE0" w:rsidP="00540D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</w:pPr>
      <w:r w:rsidRPr="00540DE0">
        <w:rPr>
          <w:rFonts w:ascii="Times New Roman" w:eastAsia="Times New Roman" w:hAnsi="Times New Roman" w:cs="Times New Roman"/>
          <w:color w:val="050624"/>
          <w:sz w:val="27"/>
          <w:szCs w:val="27"/>
          <w:lang w:eastAsia="ru-RU"/>
        </w:rPr>
        <w:t>- сообщить в правоохранительные органы по телефону 102.</w:t>
      </w:r>
    </w:p>
    <w:p w:rsidR="00F60077" w:rsidRPr="00540DE0" w:rsidRDefault="00F600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0077" w:rsidRPr="0054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A0DCA"/>
    <w:multiLevelType w:val="multilevel"/>
    <w:tmpl w:val="554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E0"/>
    <w:rsid w:val="00540DE0"/>
    <w:rsid w:val="00F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C57"/>
  <w15:chartTrackingRefBased/>
  <w15:docId w15:val="{D3966B85-A8D9-4308-8A80-911D7CFC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8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42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9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0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8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779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single" w:sz="6" w:space="8" w:color="auto"/>
                <w:bottom w:val="single" w:sz="6" w:space="12" w:color="auto"/>
                <w:right w:val="single" w:sz="6" w:space="8" w:color="auto"/>
              </w:divBdr>
              <w:divsChild>
                <w:div w:id="15229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 ДЮЦ</dc:creator>
  <cp:keywords/>
  <dc:description/>
  <cp:lastModifiedBy>МОУ ДО ДЮЦ</cp:lastModifiedBy>
  <cp:revision>2</cp:revision>
  <dcterms:created xsi:type="dcterms:W3CDTF">2025-12-17T09:08:00Z</dcterms:created>
  <dcterms:modified xsi:type="dcterms:W3CDTF">2025-12-17T09:09:00Z</dcterms:modified>
</cp:coreProperties>
</file>