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586B8E">
        <w:rPr>
          <w:rFonts w:ascii="Times New Roman" w:hAnsi="Times New Roman" w:cs="Times New Roman"/>
          <w:sz w:val="28"/>
          <w:szCs w:val="28"/>
        </w:rPr>
        <w:t>2</w:t>
      </w:r>
      <w:r w:rsidR="002445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445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3067C9" w:rsidRPr="000025B4" w:rsidRDefault="003067C9" w:rsidP="003067C9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</w:t>
      </w:r>
      <w:r w:rsidR="00C82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10 месяцев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3067C9" w:rsidRPr="002432A8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3067C9" w:rsidRDefault="003067C9" w:rsidP="0007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072D19">
              <w:rPr>
                <w:rFonts w:ascii="Times New Roman" w:hAnsi="Times New Roman" w:cs="Times New Roman"/>
                <w:sz w:val="28"/>
                <w:szCs w:val="28"/>
              </w:rPr>
              <w:t>Н.В. Антонова</w:t>
            </w:r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Е. А.</w:t>
            </w:r>
            <w:r w:rsidR="0024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Силенко</w:t>
            </w:r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3067C9" w:rsidRPr="00F51F59" w:rsidRDefault="003067C9" w:rsidP="0024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24450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244500">
              <w:rPr>
                <w:rFonts w:ascii="Times New Roman" w:hAnsi="Times New Roman" w:cs="Times New Roman"/>
                <w:sz w:val="28"/>
                <w:szCs w:val="28"/>
              </w:rPr>
              <w:t>Бурдасова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3067C9" w:rsidRPr="00F51F59" w:rsidRDefault="003067C9" w:rsidP="0007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072D19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7C9" w:rsidRDefault="003067C9" w:rsidP="003067C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7C9" w:rsidRDefault="003067C9" w:rsidP="003067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563B81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0353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86B8E">
        <w:rPr>
          <w:rFonts w:ascii="Times New Roman" w:hAnsi="Times New Roman" w:cs="Times New Roman"/>
          <w:sz w:val="28"/>
          <w:szCs w:val="28"/>
        </w:rPr>
        <w:t>2</w:t>
      </w:r>
      <w:r w:rsidR="00244500">
        <w:rPr>
          <w:rFonts w:ascii="Times New Roman" w:hAnsi="Times New Roman" w:cs="Times New Roman"/>
          <w:sz w:val="28"/>
          <w:szCs w:val="28"/>
        </w:rPr>
        <w:t>5</w:t>
      </w:r>
      <w:r w:rsidR="0058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3067C9" w:rsidRPr="00A56FB6" w:rsidRDefault="003067C9" w:rsidP="003067C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C82CF2" w:rsidRDefault="00C82CF2" w:rsidP="003067C9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C82CF2" w:rsidRDefault="00C82CF2" w:rsidP="00C82CF2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C82CF2" w:rsidRDefault="00C82CF2" w:rsidP="00C82CF2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C82CF2" w:rsidRDefault="00C82CF2" w:rsidP="00C82CF2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527 по специальности 34.02.01 Сестринское дело; 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34.02.01Сестринское дело.</w:t>
      </w:r>
    </w:p>
    <w:p w:rsidR="00C82CF2" w:rsidRDefault="00C82CF2" w:rsidP="00C82CF2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3067C9" w:rsidRDefault="003067C9" w:rsidP="003067C9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1" w:name="bookmark4"/>
      <w:r>
        <w:t xml:space="preserve">ОРГАНИЗАЦИЯ УЧЕБНОГО ПРОЦЕССА </w:t>
      </w:r>
    </w:p>
    <w:p w:rsidR="003067C9" w:rsidRDefault="003067C9" w:rsidP="003067C9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1"/>
    </w:p>
    <w:p w:rsidR="003067C9" w:rsidRDefault="003067C9" w:rsidP="003067C9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C82CF2">
        <w:t>1</w:t>
      </w:r>
      <w:r>
        <w:t xml:space="preserve"> год 10 месяцев при очной форме обучения на базе среднего общего образования.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На весь период </w:t>
      </w:r>
      <w:proofErr w:type="gramStart"/>
      <w:r>
        <w:t>обучения по дисциплинам</w:t>
      </w:r>
      <w:proofErr w:type="gramEnd"/>
      <w:r>
        <w:t xml:space="preserve"> и междисциплинарным курсам - 8</w:t>
      </w:r>
      <w:r w:rsidR="00C82CF2">
        <w:t>2</w:t>
      </w:r>
      <w:r>
        <w:t xml:space="preserve"> недел</w:t>
      </w:r>
      <w:r w:rsidR="00C82CF2">
        <w:t>и</w:t>
      </w:r>
      <w:r w:rsidR="00085E3E">
        <w:t>.</w:t>
      </w:r>
      <w:r>
        <w:t xml:space="preserve"> </w:t>
      </w:r>
      <w:r w:rsidR="00085E3E">
        <w:t>В</w:t>
      </w:r>
      <w:r>
        <w:t xml:space="preserve">ремя промежуточной аттестации - </w:t>
      </w:r>
      <w:r w:rsidR="00C82CF2">
        <w:t>4</w:t>
      </w:r>
      <w:r>
        <w:t xml:space="preserve"> недел</w:t>
      </w:r>
      <w:r w:rsidR="00C82CF2">
        <w:t>и</w:t>
      </w:r>
      <w:r w:rsidR="00085E3E">
        <w:t>.</w:t>
      </w:r>
      <w:r>
        <w:t xml:space="preserve"> </w:t>
      </w:r>
      <w:r w:rsidR="00085E3E">
        <w:t>У</w:t>
      </w:r>
      <w:r>
        <w:t xml:space="preserve">чебная </w:t>
      </w:r>
      <w:r>
        <w:lastRenderedPageBreak/>
        <w:t xml:space="preserve">практика - </w:t>
      </w:r>
      <w:r w:rsidR="00C82CF2">
        <w:t>8</w:t>
      </w:r>
      <w:r>
        <w:t xml:space="preserve"> недель</w:t>
      </w:r>
      <w:r w:rsidR="00085E3E">
        <w:t>.</w:t>
      </w:r>
      <w:r>
        <w:t xml:space="preserve"> </w:t>
      </w:r>
      <w:r w:rsidR="00085E3E">
        <w:t>П</w:t>
      </w:r>
      <w:r>
        <w:t xml:space="preserve">роизводственная практика - </w:t>
      </w:r>
      <w:r w:rsidR="00C82CF2">
        <w:t>7</w:t>
      </w:r>
      <w:r>
        <w:t xml:space="preserve"> недель, </w:t>
      </w:r>
      <w:r w:rsidR="00C82CF2">
        <w:t xml:space="preserve">Производственная практика по профилю специальности </w:t>
      </w:r>
      <w:r>
        <w:t>- 4 недели</w:t>
      </w:r>
      <w:r w:rsidR="00085E3E">
        <w:t>.</w:t>
      </w:r>
      <w:r>
        <w:t xml:space="preserve"> </w:t>
      </w:r>
      <w:r w:rsidR="00085E3E">
        <w:t>Г</w:t>
      </w:r>
      <w:r>
        <w:t xml:space="preserve">осударственная (итоговая) аттестация - </w:t>
      </w:r>
      <w:r w:rsidR="00C82CF2">
        <w:t>3</w:t>
      </w:r>
      <w:r>
        <w:t xml:space="preserve"> недели</w:t>
      </w:r>
      <w:r w:rsidR="00085E3E">
        <w:t>.</w:t>
      </w:r>
      <w:r>
        <w:t xml:space="preserve"> </w:t>
      </w:r>
      <w:r w:rsidR="00085E3E">
        <w:t xml:space="preserve"> </w:t>
      </w:r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две смены и начинается с 8.30. Объем обязательной аудиторной нагрузкой обучающихся при очной форме обучения составляет - 36 часов в неделю, включая все виды аудиторной (самостоятельной) учебной работы. Общее количество изучаемых дисциплин циклов </w:t>
      </w:r>
      <w:r w:rsidR="00384D52">
        <w:t>С</w:t>
      </w:r>
      <w:r>
        <w:t>Г и ОП - 1</w:t>
      </w:r>
      <w:r w:rsidR="00384D52">
        <w:t>2</w:t>
      </w:r>
      <w:r>
        <w:t xml:space="preserve">, профессиональных модулей (ПМ) - </w:t>
      </w:r>
      <w:r w:rsidR="00384D52">
        <w:t>5</w:t>
      </w:r>
      <w:r>
        <w:t xml:space="preserve">, междисциплинарных курсов (МДК) - </w:t>
      </w:r>
      <w:r w:rsidR="00384D52">
        <w:t>8</w:t>
      </w:r>
      <w:r>
        <w:t xml:space="preserve">. Количество часов обязательной учебной нагрузки, включая </w:t>
      </w:r>
      <w:r w:rsidR="00384D52">
        <w:t>828</w:t>
      </w:r>
      <w:r>
        <w:t xml:space="preserve"> часов вариативной части ФГОС, составляет </w:t>
      </w:r>
      <w:r w:rsidR="00384D52">
        <w:t>2952</w:t>
      </w:r>
      <w:r>
        <w:t xml:space="preserve"> часа.</w:t>
      </w:r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</w:t>
      </w:r>
      <w:r w:rsidR="00384D52">
        <w:t>С</w:t>
      </w:r>
      <w:r>
        <w:t>Г,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Группы обучающихся при проведении учебных занятий в виде лекций объединяются.</w:t>
      </w:r>
    </w:p>
    <w:p w:rsidR="00244500" w:rsidRDefault="00244500" w:rsidP="0024450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67C9"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</w:t>
      </w:r>
      <w:r w:rsidR="003067C9">
        <w:rPr>
          <w:rFonts w:ascii="Times New Roman" w:hAnsi="Times New Roman" w:cs="Times New Roman"/>
          <w:sz w:val="28"/>
          <w:szCs w:val="28"/>
        </w:rPr>
        <w:t>,</w:t>
      </w:r>
      <w:r w:rsidR="00384D52">
        <w:rPr>
          <w:rFonts w:ascii="Times New Roman" w:hAnsi="Times New Roman" w:cs="Times New Roman"/>
          <w:sz w:val="28"/>
          <w:szCs w:val="28"/>
        </w:rPr>
        <w:t xml:space="preserve"> </w:t>
      </w:r>
      <w:r w:rsidR="003067C9"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 w:rsidR="003067C9">
        <w:rPr>
          <w:rFonts w:ascii="Times New Roman" w:hAnsi="Times New Roman" w:cs="Times New Roman"/>
          <w:sz w:val="28"/>
          <w:szCs w:val="28"/>
        </w:rPr>
        <w:t xml:space="preserve">, </w:t>
      </w:r>
      <w:r w:rsidR="003067C9" w:rsidRPr="00A472E2">
        <w:rPr>
          <w:rFonts w:ascii="Times New Roman" w:hAnsi="Times New Roman" w:cs="Times New Roman"/>
          <w:sz w:val="28"/>
          <w:szCs w:val="28"/>
        </w:rPr>
        <w:t xml:space="preserve">включая игровые </w:t>
      </w:r>
      <w:r w:rsidR="003067C9" w:rsidRPr="00A472E2">
        <w:rPr>
          <w:rFonts w:ascii="Times New Roman" w:hAnsi="Times New Roman" w:cs="Times New Roman"/>
          <w:sz w:val="28"/>
          <w:szCs w:val="28"/>
        </w:rPr>
        <w:lastRenderedPageBreak/>
        <w:t>виды подготовки за счет различных форм внеаудиторных занятий в спортивных клубах и секциях.</w:t>
      </w:r>
      <w:r w:rsidRPr="002445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44500" w:rsidRPr="00A472E2" w:rsidRDefault="00244500" w:rsidP="00244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4D7A46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Самостоятельная работа организуется в форме выполнения курсовых работ,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что позволяет сформировать профессиональные качества. Все задания для аудиторной и внеаудиторной самостоятельной работы являются частью учебно-методического комплекса дисциплин и модулей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3067C9" w:rsidRPr="00805803" w:rsidRDefault="003067C9" w:rsidP="003067C9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 xml:space="preserve">Консультации для </w:t>
      </w:r>
      <w:proofErr w:type="gramStart"/>
      <w:r w:rsidRPr="0071001E">
        <w:rPr>
          <w:sz w:val="28"/>
          <w:szCs w:val="28"/>
        </w:rPr>
        <w:t>обучающихся</w:t>
      </w:r>
      <w:proofErr w:type="gramEnd"/>
      <w:r w:rsidRPr="0071001E">
        <w:rPr>
          <w:sz w:val="28"/>
          <w:szCs w:val="28"/>
        </w:rPr>
        <w:t xml:space="preserve"> очной формы обучения предусматриваются</w:t>
      </w:r>
      <w:r w:rsidR="00384D52">
        <w:rPr>
          <w:sz w:val="28"/>
          <w:szCs w:val="28"/>
        </w:rPr>
        <w:t>.</w:t>
      </w:r>
      <w:r w:rsidRPr="0071001E">
        <w:rPr>
          <w:sz w:val="28"/>
          <w:szCs w:val="28"/>
        </w:rPr>
        <w:t xml:space="preserve"> 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</w:t>
      </w:r>
      <w:r w:rsidR="00384D52">
        <w:rPr>
          <w:sz w:val="28"/>
          <w:szCs w:val="28"/>
        </w:rPr>
        <w:t xml:space="preserve"> </w:t>
      </w:r>
    </w:p>
    <w:p w:rsidR="003067C9" w:rsidRPr="00805803" w:rsidRDefault="003067C9" w:rsidP="00306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</w:t>
      </w:r>
      <w:r w:rsidR="005C4B7C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</w:t>
      </w:r>
      <w:r w:rsidR="005C4B7C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 отводится 20 часов самостоятельной работы студентов.</w:t>
      </w:r>
    </w:p>
    <w:p w:rsidR="003067C9" w:rsidRDefault="003067C9" w:rsidP="00384D52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ФОРМИРОВАНИЕ ВАРИАТИВНОЙ ЧАСТИ ОПОП</w:t>
      </w:r>
    </w:p>
    <w:p w:rsidR="00327F5A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6B4">
        <w:rPr>
          <w:rFonts w:ascii="Times New Roman" w:hAnsi="Times New Roman" w:cs="Times New Roman"/>
          <w:color w:val="000000" w:themeColor="text1"/>
          <w:sz w:val="28"/>
          <w:szCs w:val="28"/>
        </w:rPr>
        <w:t>С целью освоения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который распределён следующим образом: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Проведение</w:t>
      </w:r>
      <w:r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мероприятий</w:t>
      </w:r>
      <w:r w:rsidRPr="00933FC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профилактике инфекций, связанных с оказанием</w:t>
      </w:r>
      <w:r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P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</w:p>
    <w:p w:rsidR="00327F5A" w:rsidRPr="00D90C77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33FCC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помощи, осуществление сестринского ухода и</w:t>
      </w:r>
      <w:r w:rsidRPr="009F726C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наблюдения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пациентами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заболеваниях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(или)</w:t>
      </w:r>
      <w:r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состояниях</w:t>
      </w:r>
      <w:r w:rsidRPr="009F72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профиля - 172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 в экстренной</w:t>
      </w:r>
      <w:r w:rsidRPr="00D90C7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форме</w:t>
      </w: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-36 часов</w:t>
      </w:r>
    </w:p>
    <w:p w:rsidR="00327F5A" w:rsidRPr="00A472E2" w:rsidRDefault="00327F5A" w:rsidP="00327F5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327F5A" w:rsidRPr="00A472E2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работодателей в основн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величен объем времени междисциплинарных курсов: </w:t>
      </w:r>
    </w:p>
    <w:p w:rsidR="00327F5A" w:rsidRPr="00A472E2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7F5A" w:rsidRPr="00A472E2" w:rsidRDefault="00327F5A" w:rsidP="00327F5A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172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время увеличено за счет вариативной части с учетом требований работодателей учреждений здравоохранения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lastRenderedPageBreak/>
        <w:t>профессионально действовать в критических и неотложных состояниях (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0.9;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ПК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5.4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).</w:t>
      </w:r>
      <w:r w:rsidR="0013787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Промежуточная аттестация 1 неделя – 36 часов.</w:t>
      </w:r>
    </w:p>
    <w:p w:rsidR="00327F5A" w:rsidRDefault="00327F5A" w:rsidP="00327F5A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327F5A" w:rsidRDefault="00327F5A" w:rsidP="00327F5A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327F5A" w:rsidRDefault="00327F5A" w:rsidP="00327F5A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327F5A" w:rsidRDefault="00327F5A" w:rsidP="00327F5A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практика, </w:t>
      </w:r>
    </w:p>
    <w:p w:rsidR="00327F5A" w:rsidRPr="00D020F7" w:rsidRDefault="00327F5A" w:rsidP="00327F5A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>Производственная практика по профилю специальности;</w:t>
      </w:r>
    </w:p>
    <w:p w:rsidR="00327F5A" w:rsidRDefault="00327F5A" w:rsidP="00327F5A">
      <w:pPr>
        <w:pStyle w:val="10"/>
        <w:shd w:val="clear" w:color="auto" w:fill="FFFFFF"/>
        <w:spacing w:line="312" w:lineRule="auto"/>
        <w:ind w:left="360"/>
        <w:jc w:val="both"/>
        <w:rPr>
          <w:sz w:val="28"/>
          <w:szCs w:val="28"/>
        </w:rPr>
      </w:pPr>
    </w:p>
    <w:p w:rsidR="00327F5A" w:rsidRDefault="00327F5A" w:rsidP="00327F5A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>,</w:t>
      </w:r>
      <w:r w:rsidRPr="00DD1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практика </w:t>
      </w:r>
      <w:r w:rsidRPr="00DD1615">
        <w:rPr>
          <w:sz w:val="28"/>
          <w:szCs w:val="28"/>
        </w:rPr>
        <w:t>по профилю специальности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327F5A" w:rsidRDefault="00327F5A" w:rsidP="00327F5A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327F5A" w:rsidRPr="00510BBE" w:rsidRDefault="00327F5A" w:rsidP="00327F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20"/>
        <w:gridCol w:w="2552"/>
        <w:gridCol w:w="8"/>
        <w:gridCol w:w="2543"/>
      </w:tblGrid>
      <w:tr w:rsidR="00327F5A" w:rsidRPr="00783A4B" w:rsidTr="0004469A">
        <w:tc>
          <w:tcPr>
            <w:tcW w:w="4820" w:type="dxa"/>
            <w:gridSpan w:val="2"/>
            <w:vMerge w:val="restart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327F5A" w:rsidRPr="00783A4B" w:rsidTr="0004469A">
        <w:tc>
          <w:tcPr>
            <w:tcW w:w="4820" w:type="dxa"/>
            <w:gridSpan w:val="2"/>
            <w:vMerge/>
            <w:vAlign w:val="center"/>
          </w:tcPr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00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, </w:t>
            </w:r>
            <w:r w:rsidRPr="00326CD1">
              <w:rPr>
                <w:sz w:val="24"/>
                <w:szCs w:val="24"/>
              </w:rPr>
              <w:t>МДК. 0</w:t>
            </w:r>
            <w:r>
              <w:rPr>
                <w:sz w:val="24"/>
                <w:szCs w:val="24"/>
              </w:rPr>
              <w:t>1</w:t>
            </w:r>
            <w:r w:rsidRPr="00326CD1">
              <w:rPr>
                <w:sz w:val="24"/>
                <w:szCs w:val="24"/>
              </w:rPr>
              <w:t xml:space="preserve">.01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Обеспечение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безопасной</w:t>
            </w:r>
            <w:r w:rsidRPr="00F050B4"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окружающей среды</w:t>
            </w:r>
            <w:r w:rsidRPr="00F050B4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в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медицинской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организации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ПП.01</w:t>
            </w:r>
          </w:p>
          <w:p w:rsidR="00327F5A" w:rsidRPr="00F050B4" w:rsidRDefault="00327F5A" w:rsidP="00044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4800" w:type="dxa"/>
            <w:vAlign w:val="center"/>
          </w:tcPr>
          <w:p w:rsidR="00327F5A" w:rsidRPr="00783A4B" w:rsidRDefault="00327F5A" w:rsidP="0004469A">
            <w:pPr>
              <w:spacing w:after="0"/>
              <w:ind w:left="107" w:right="217"/>
              <w:rPr>
                <w:sz w:val="24"/>
                <w:szCs w:val="24"/>
              </w:rPr>
            </w:pP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ПМ 03 Проведение мероприятий по профилактике неинфекционных и </w:t>
            </w:r>
            <w:proofErr w:type="spellStart"/>
            <w:proofErr w:type="gram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инфекци</w:t>
            </w:r>
            <w:proofErr w:type="spellEnd"/>
            <w:r w:rsidRPr="00F050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онных</w:t>
            </w:r>
            <w:proofErr w:type="spellEnd"/>
            <w:proofErr w:type="gramEnd"/>
            <w:r w:rsidRPr="00F050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F050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</w:tc>
        <w:tc>
          <w:tcPr>
            <w:tcW w:w="2580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3</w:t>
            </w:r>
          </w:p>
          <w:p w:rsidR="00327F5A" w:rsidRPr="00F050B4" w:rsidRDefault="00327F5A" w:rsidP="00044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</w:t>
            </w:r>
            <w:r>
              <w:rPr>
                <w:sz w:val="24"/>
                <w:szCs w:val="24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F538F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наблюдения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за</w:t>
            </w:r>
            <w:r w:rsidRPr="008F538F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пациентами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при</w:t>
            </w:r>
            <w:r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и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(или)</w:t>
            </w:r>
            <w:r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состояниях</w:t>
            </w:r>
            <w:r w:rsidRPr="00783A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ПП.04., 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МДК.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Документирование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контроль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 медицинской</w:t>
            </w:r>
            <w:r w:rsidRPr="0071168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сестры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УП.0</w:t>
            </w:r>
            <w:r>
              <w:rPr>
                <w:sz w:val="24"/>
                <w:szCs w:val="24"/>
              </w:rPr>
              <w:t>2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ПП.0</w:t>
            </w:r>
            <w:r>
              <w:rPr>
                <w:sz w:val="24"/>
                <w:szCs w:val="24"/>
              </w:rPr>
              <w:t>2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11681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6A3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rPr>
          <w:trHeight w:val="710"/>
        </w:trPr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rPr>
          <w:trHeight w:val="710"/>
        </w:trPr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ПМ 05 МДК 05.01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Участие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медицинской</w:t>
            </w:r>
            <w:r w:rsidRPr="000845EB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сестры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оказании медицинской помощи в экстренной</w:t>
            </w:r>
            <w:r w:rsidRPr="000845EB">
              <w:rPr>
                <w:rFonts w:ascii="Times New Roman" w:eastAsia="Times New Roman" w:hAnsi="Times New Roman" w:cs="Times New Roman"/>
                <w:spacing w:val="-52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форме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327F5A" w:rsidRDefault="00327F5A" w:rsidP="00327F5A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327F5A" w:rsidRDefault="00327F5A" w:rsidP="00327F5A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384D52" w:rsidRPr="00A472E2" w:rsidRDefault="00384D52" w:rsidP="00384D52">
      <w:pPr>
        <w:pStyle w:val="20"/>
        <w:shd w:val="clear" w:color="auto" w:fill="auto"/>
        <w:spacing w:after="0" w:line="360" w:lineRule="auto"/>
        <w:ind w:firstLine="0"/>
        <w:jc w:val="center"/>
        <w:rPr>
          <w:b/>
          <w:bCs/>
          <w:color w:val="000000" w:themeColor="text1"/>
        </w:rPr>
      </w:pPr>
    </w:p>
    <w:p w:rsidR="003067C9" w:rsidRPr="003C765D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>1.</w:t>
      </w:r>
      <w:r w:rsidR="00D715B1">
        <w:rPr>
          <w:b/>
          <w:bCs/>
        </w:rPr>
        <w:t>4</w:t>
      </w:r>
      <w:r w:rsidR="00085E3E">
        <w:rPr>
          <w:b/>
          <w:bCs/>
        </w:rPr>
        <w:t xml:space="preserve"> </w:t>
      </w:r>
      <w:r w:rsidRPr="004A7228">
        <w:rPr>
          <w:b/>
          <w:bCs/>
        </w:rPr>
        <w:t xml:space="preserve">ПОРЯДОК АТТЕСТАЦИИ </w:t>
      </w:r>
      <w:proofErr w:type="gramStart"/>
      <w:r w:rsidRPr="004A7228">
        <w:rPr>
          <w:b/>
          <w:bCs/>
        </w:rPr>
        <w:t>ОБУЧАЮЩИХСЯ</w:t>
      </w:r>
      <w:proofErr w:type="gramEnd"/>
    </w:p>
    <w:p w:rsidR="003067C9" w:rsidRPr="00327F5A" w:rsidRDefault="003067C9" w:rsidP="00327F5A">
      <w:pPr>
        <w:pStyle w:val="20"/>
        <w:shd w:val="clear" w:color="auto" w:fill="auto"/>
        <w:spacing w:after="0" w:line="360" w:lineRule="auto"/>
        <w:ind w:firstLine="708"/>
        <w:jc w:val="both"/>
        <w:rPr>
          <w:bCs/>
        </w:rPr>
      </w:pPr>
      <w:r w:rsidRPr="00327F5A">
        <w:rPr>
          <w:bCs/>
        </w:rPr>
        <w:t>Контроль и оценка освоения основных видов профессиональной деятельности, профессиональных и общих компетенций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t>кроссвордов, презентаций), защита курсовых работ.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40"/>
        <w:jc w:val="both"/>
      </w:pPr>
      <w:r>
        <w:t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</w:t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>Оценка качества подготовки студентов и выпускников осуществляется в двух основных направлениях: оценка уровня освоения дисциплин; оценка компетенций студентов и выпускников, определяется оценками «отлично», «хорошо», «удовлетворительно», «зачтено».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</w:t>
      </w:r>
      <w:r w:rsidR="00327F5A">
        <w:t>4</w:t>
      </w:r>
      <w:r>
        <w:t xml:space="preserve"> недел</w:t>
      </w:r>
      <w:r w:rsidR="00327F5A">
        <w:t>и</w:t>
      </w:r>
      <w:r>
        <w:t xml:space="preserve"> </w:t>
      </w:r>
      <w:r>
        <w:lastRenderedPageBreak/>
        <w:t xml:space="preserve">сессии. Зачеты и дифференциальные зачеты проводятся за счет основного учебного времени. </w:t>
      </w:r>
    </w:p>
    <w:p w:rsidR="00327F5A" w:rsidRPr="00B47400" w:rsidRDefault="00327F5A" w:rsidP="00327F5A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182"/>
      </w:tblGrid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311" w:type="dxa"/>
            <w:gridSpan w:val="2"/>
            <w:vAlign w:val="bottom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9311" w:type="dxa"/>
            <w:gridSpan w:val="2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окружающей среды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01;ПП 01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Здоровый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профилактика заболеваний в разные возрастные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</w:t>
            </w:r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Сестринское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системе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первичной медико-санитарной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rPr>
          <w:trHeight w:val="722"/>
        </w:trPr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03;ПП 03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03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МДК 04.01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 xml:space="preserve"> Общий</w:t>
            </w:r>
            <w:r w:rsidRPr="000D1A7B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0D1A7B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0D1A7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044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Генетика</w:t>
            </w:r>
            <w:r w:rsidRPr="008B36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основами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УП 04; ПП 04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Э. МДК 04.02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Сестринский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уход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реабилитация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пациентов терапевтического профиля разных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возрастных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Э, ПМ.02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>Фармакология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02;ПП 02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 в 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п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рофессиональной деятельности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Безопасность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жизнедеятельности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6044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 xml:space="preserve"> Сестринский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6044A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хирургического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профиля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05;ПП 05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 в </w:t>
            </w:r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E9648C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27F5A" w:rsidRDefault="00327F5A" w:rsidP="00327F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>
        <w:t xml:space="preserve">           </w:t>
      </w:r>
    </w:p>
    <w:p w:rsidR="003067C9" w:rsidRPr="005A0E6F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A94C3E" w:rsidRPr="007877FB" w:rsidRDefault="00A94C3E" w:rsidP="00A94C3E">
      <w:pPr>
        <w:pStyle w:val="a4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A94C3E" w:rsidRPr="00591C0C" w:rsidRDefault="00A94C3E" w:rsidP="00A94C3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A94C3E" w:rsidRPr="00591C0C" w:rsidRDefault="00A94C3E" w:rsidP="00A94C3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.02.0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Сестринск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A94C3E" w:rsidRPr="00591C0C" w:rsidRDefault="00A94C3E" w:rsidP="00A94C3E">
      <w:pPr>
        <w:pStyle w:val="a4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A94C3E" w:rsidRDefault="00A94C3E" w:rsidP="00A94C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3"/>
        </w:rPr>
      </w:pPr>
      <w:r w:rsidRPr="00B05599">
        <w:rPr>
          <w:rStyle w:val="13"/>
        </w:rPr>
        <w:lastRenderedPageBreak/>
        <w:t>На государственную (итоговую) аттеста</w:t>
      </w:r>
      <w:r w:rsidRPr="00B05599">
        <w:rPr>
          <w:rStyle w:val="13"/>
        </w:rPr>
        <w:softHyphen/>
        <w:t xml:space="preserve">цию отведено </w:t>
      </w:r>
      <w:r>
        <w:rPr>
          <w:rStyle w:val="13"/>
        </w:rPr>
        <w:t>3</w:t>
      </w:r>
      <w:r w:rsidRPr="00B05599">
        <w:rPr>
          <w:rStyle w:val="13"/>
        </w:rPr>
        <w:t xml:space="preserve"> недел</w:t>
      </w:r>
      <w:r>
        <w:rPr>
          <w:rStyle w:val="13"/>
        </w:rPr>
        <w:t>и.</w:t>
      </w:r>
      <w:r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 Медицинская сестра \ медицинский брат.</w:t>
      </w:r>
    </w:p>
    <w:p w:rsidR="00566F45" w:rsidRDefault="00566F45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3067C9" w:rsidRPr="0098471F" w:rsidRDefault="003067C9" w:rsidP="003067C9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Социально-гуманитарных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исциплин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Иностранного языка</w:t>
      </w:r>
    </w:p>
    <w:p w:rsidR="00A94C3E" w:rsidRPr="00407A46" w:rsidRDefault="00A94C3E" w:rsidP="00A94C3E">
      <w:pPr>
        <w:widowControl w:val="0"/>
        <w:autoSpaceDE w:val="0"/>
        <w:autoSpaceDN w:val="0"/>
        <w:spacing w:after="0" w:line="275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</w:t>
      </w:r>
    </w:p>
    <w:p w:rsidR="00A94C3E" w:rsidRDefault="00A94C3E" w:rsidP="00A94C3E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 технологий в профессиональной деятельности</w:t>
      </w:r>
    </w:p>
    <w:p w:rsidR="00A94C3E" w:rsidRPr="00407A46" w:rsidRDefault="00A94C3E" w:rsidP="00A94C3E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Анатомии и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физиологии человека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основами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патологии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 микробиологии и иммунологии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Генетики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генетикой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Фармакологии и основ латинского языка с медицинской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терминологией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Сестринского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</w:p>
    <w:p w:rsidR="00A94C3E" w:rsidRPr="00407A46" w:rsidRDefault="00A94C3E" w:rsidP="00A94C3E">
      <w:pPr>
        <w:widowControl w:val="0"/>
        <w:autoSpaceDE w:val="0"/>
        <w:autoSpaceDN w:val="0"/>
        <w:spacing w:after="0" w:line="272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</w:p>
    <w:p w:rsidR="00A94C3E" w:rsidRPr="00407A46" w:rsidRDefault="00563B81" w:rsidP="00A94C3E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5pt;margin-top:15.85pt;width:1.0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L2rAIAAKY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" filled="f" stroked="f">
            <v:textbox inset="0,0,0,0">
              <w:txbxContent>
                <w:p w:rsidR="00A94C3E" w:rsidRDefault="00A94C3E" w:rsidP="00A94C3E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w w:val="95"/>
                      <w:sz w:val="2"/>
                    </w:rPr>
                    <w:t>5F</w:t>
                  </w:r>
                </w:p>
              </w:txbxContent>
            </v:textbox>
            <w10:wrap anchorx="page"/>
          </v:shape>
        </w:pict>
      </w:r>
      <w:r w:rsidR="00A94C3E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Спортивный</w:t>
      </w:r>
      <w:r w:rsidR="00A94C3E"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94C3E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комплекс</w:t>
      </w:r>
      <w:r w:rsidR="00A94C3E" w:rsidRPr="00407A46">
        <w:rPr>
          <w:rFonts w:ascii="Times New Roman" w:eastAsia="Times New Roman" w:hAnsi="Times New Roman" w:cs="Times New Roman"/>
          <w:b/>
          <w:bCs/>
          <w:spacing w:val="-39"/>
          <w:sz w:val="28"/>
          <w:szCs w:val="28"/>
          <w:lang w:eastAsia="en-US"/>
        </w:rPr>
        <w:t xml:space="preserve"> </w:t>
      </w:r>
      <w:r w:rsidR="00A94C3E" w:rsidRPr="00407A4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US"/>
        </w:rPr>
        <w:t>6</w:t>
      </w:r>
    </w:p>
    <w:p w:rsidR="00A94C3E" w:rsidRPr="00407A46" w:rsidRDefault="00A94C3E" w:rsidP="00A94C3E">
      <w:pPr>
        <w:widowControl w:val="0"/>
        <w:autoSpaceDE w:val="0"/>
        <w:autoSpaceDN w:val="0"/>
        <w:spacing w:before="41"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Спортивный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</w:p>
    <w:p w:rsidR="00A94C3E" w:rsidRPr="00407A46" w:rsidRDefault="00A94C3E" w:rsidP="00A94C3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94C3E" w:rsidRPr="00407A46" w:rsidRDefault="00A94C3E" w:rsidP="00A94C3E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Залы:</w:t>
      </w:r>
    </w:p>
    <w:p w:rsidR="00A94C3E" w:rsidRPr="00407A46" w:rsidRDefault="00A94C3E" w:rsidP="00A94C3E">
      <w:pPr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before="38" w:after="0" w:line="240" w:lineRule="auto"/>
        <w:ind w:left="1109" w:hanging="18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библиотека,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читальный зал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выходом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интернет;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актовый зал.</w:t>
      </w: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3067C9" w:rsidRDefault="003067C9" w:rsidP="003067C9"/>
    <w:p w:rsidR="005626FF" w:rsidRDefault="005626FF"/>
    <w:sectPr w:rsidR="005626FF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0E1"/>
    <w:multiLevelType w:val="hybridMultilevel"/>
    <w:tmpl w:val="D9E81702"/>
    <w:lvl w:ilvl="0" w:tplc="EFB69EAC">
      <w:numFmt w:val="bullet"/>
      <w:lvlText w:val="–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9564">
      <w:numFmt w:val="bullet"/>
      <w:lvlText w:val="•"/>
      <w:lvlJc w:val="left"/>
      <w:pPr>
        <w:ind w:left="1194" w:hanging="200"/>
      </w:pPr>
      <w:rPr>
        <w:lang w:val="ru-RU" w:eastAsia="en-US" w:bidi="ar-SA"/>
      </w:rPr>
    </w:lvl>
    <w:lvl w:ilvl="2" w:tplc="97D4273E">
      <w:numFmt w:val="bullet"/>
      <w:lvlText w:val="•"/>
      <w:lvlJc w:val="left"/>
      <w:pPr>
        <w:ind w:left="2169" w:hanging="200"/>
      </w:pPr>
      <w:rPr>
        <w:lang w:val="ru-RU" w:eastAsia="en-US" w:bidi="ar-SA"/>
      </w:rPr>
    </w:lvl>
    <w:lvl w:ilvl="3" w:tplc="CE0E9690">
      <w:numFmt w:val="bullet"/>
      <w:lvlText w:val="•"/>
      <w:lvlJc w:val="left"/>
      <w:pPr>
        <w:ind w:left="3143" w:hanging="200"/>
      </w:pPr>
      <w:rPr>
        <w:lang w:val="ru-RU" w:eastAsia="en-US" w:bidi="ar-SA"/>
      </w:rPr>
    </w:lvl>
    <w:lvl w:ilvl="4" w:tplc="9CE0CF0E">
      <w:numFmt w:val="bullet"/>
      <w:lvlText w:val="•"/>
      <w:lvlJc w:val="left"/>
      <w:pPr>
        <w:ind w:left="4118" w:hanging="200"/>
      </w:pPr>
      <w:rPr>
        <w:lang w:val="ru-RU" w:eastAsia="en-US" w:bidi="ar-SA"/>
      </w:rPr>
    </w:lvl>
    <w:lvl w:ilvl="5" w:tplc="D4101534">
      <w:numFmt w:val="bullet"/>
      <w:lvlText w:val="•"/>
      <w:lvlJc w:val="left"/>
      <w:pPr>
        <w:ind w:left="5093" w:hanging="200"/>
      </w:pPr>
      <w:rPr>
        <w:lang w:val="ru-RU" w:eastAsia="en-US" w:bidi="ar-SA"/>
      </w:rPr>
    </w:lvl>
    <w:lvl w:ilvl="6" w:tplc="CBAE4FD6">
      <w:numFmt w:val="bullet"/>
      <w:lvlText w:val="•"/>
      <w:lvlJc w:val="left"/>
      <w:pPr>
        <w:ind w:left="6067" w:hanging="200"/>
      </w:pPr>
      <w:rPr>
        <w:lang w:val="ru-RU" w:eastAsia="en-US" w:bidi="ar-SA"/>
      </w:rPr>
    </w:lvl>
    <w:lvl w:ilvl="7" w:tplc="3B8023DC">
      <w:numFmt w:val="bullet"/>
      <w:lvlText w:val="•"/>
      <w:lvlJc w:val="left"/>
      <w:pPr>
        <w:ind w:left="7042" w:hanging="200"/>
      </w:pPr>
      <w:rPr>
        <w:lang w:val="ru-RU" w:eastAsia="en-US" w:bidi="ar-SA"/>
      </w:rPr>
    </w:lvl>
    <w:lvl w:ilvl="8" w:tplc="2F72A49C">
      <w:numFmt w:val="bullet"/>
      <w:lvlText w:val="•"/>
      <w:lvlJc w:val="left"/>
      <w:pPr>
        <w:ind w:left="8017" w:hanging="200"/>
      </w:pPr>
      <w:rPr>
        <w:lang w:val="ru-RU" w:eastAsia="en-US" w:bidi="ar-SA"/>
      </w:rPr>
    </w:lvl>
  </w:abstractNum>
  <w:abstractNum w:abstractNumId="1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5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5"/>
  </w:num>
  <w:num w:numId="16">
    <w:abstractNumId w:val="6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7C9"/>
    <w:rsid w:val="00035317"/>
    <w:rsid w:val="00072D19"/>
    <w:rsid w:val="00085E3E"/>
    <w:rsid w:val="001214A9"/>
    <w:rsid w:val="0013787F"/>
    <w:rsid w:val="0019437D"/>
    <w:rsid w:val="00244500"/>
    <w:rsid w:val="00263D2A"/>
    <w:rsid w:val="003067C9"/>
    <w:rsid w:val="00327F5A"/>
    <w:rsid w:val="00384D52"/>
    <w:rsid w:val="00433492"/>
    <w:rsid w:val="00491DF3"/>
    <w:rsid w:val="00494C4E"/>
    <w:rsid w:val="00505938"/>
    <w:rsid w:val="005136A8"/>
    <w:rsid w:val="005626FF"/>
    <w:rsid w:val="00563B81"/>
    <w:rsid w:val="00566F45"/>
    <w:rsid w:val="00586B8E"/>
    <w:rsid w:val="005C4B7C"/>
    <w:rsid w:val="006076E9"/>
    <w:rsid w:val="00651E65"/>
    <w:rsid w:val="006766F8"/>
    <w:rsid w:val="00697B04"/>
    <w:rsid w:val="006A3A17"/>
    <w:rsid w:val="006A6DF3"/>
    <w:rsid w:val="008440F0"/>
    <w:rsid w:val="00970E69"/>
    <w:rsid w:val="00A70751"/>
    <w:rsid w:val="00A72B2E"/>
    <w:rsid w:val="00A94C3E"/>
    <w:rsid w:val="00B52BCB"/>
    <w:rsid w:val="00C82CF2"/>
    <w:rsid w:val="00CC332E"/>
    <w:rsid w:val="00D715B1"/>
    <w:rsid w:val="00EB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C9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3067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67C9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3067C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306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3067C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067C9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1"/>
    <w:uiPriority w:val="99"/>
    <w:rsid w:val="00A94C3E"/>
    <w:rPr>
      <w:rFonts w:ascii="Times New Roman" w:hAnsi="Times New Roman" w:cs="Times New Roman"/>
      <w:spacing w:val="0"/>
      <w:sz w:val="26"/>
      <w:szCs w:val="26"/>
    </w:rPr>
  </w:style>
  <w:style w:type="paragraph" w:styleId="a4">
    <w:name w:val="No Spacing"/>
    <w:link w:val="a5"/>
    <w:uiPriority w:val="99"/>
    <w:qFormat/>
    <w:rsid w:val="00A94C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99"/>
    <w:locked/>
    <w:rsid w:val="00A94C3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24</cp:revision>
  <cp:lastPrinted>2019-09-11T06:30:00Z</cp:lastPrinted>
  <dcterms:created xsi:type="dcterms:W3CDTF">2019-09-11T05:55:00Z</dcterms:created>
  <dcterms:modified xsi:type="dcterms:W3CDTF">2025-05-16T06:03:00Z</dcterms:modified>
</cp:coreProperties>
</file>