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B1" w:rsidRPr="00BF69B1" w:rsidRDefault="00BF69B1" w:rsidP="00BF69B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B8B8B8"/>
          <w:sz w:val="15"/>
          <w:szCs w:val="15"/>
          <w:lang w:eastAsia="ru-RU"/>
        </w:rPr>
      </w:pPr>
      <w:r w:rsidRPr="00BF69B1">
        <w:rPr>
          <w:rFonts w:ascii="Roboto" w:eastAsia="Times New Roman" w:hAnsi="Roboto" w:cs="Times New Roman"/>
          <w:color w:val="B8B8B8"/>
          <w:sz w:val="15"/>
          <w:szCs w:val="15"/>
          <w:lang w:eastAsia="ru-RU"/>
        </w:rPr>
        <w:fldChar w:fldCharType="begin"/>
      </w:r>
      <w:r w:rsidRPr="00BF69B1">
        <w:rPr>
          <w:rFonts w:ascii="Roboto" w:eastAsia="Times New Roman" w:hAnsi="Roboto" w:cs="Times New Roman"/>
          <w:color w:val="B8B8B8"/>
          <w:sz w:val="15"/>
          <w:szCs w:val="15"/>
          <w:lang w:eastAsia="ru-RU"/>
        </w:rPr>
        <w:instrText xml:space="preserve"> HYPERLINK "http://www.obkomprof.ru/news" </w:instrText>
      </w:r>
      <w:r w:rsidRPr="00BF69B1">
        <w:rPr>
          <w:rFonts w:ascii="Roboto" w:eastAsia="Times New Roman" w:hAnsi="Roboto" w:cs="Times New Roman"/>
          <w:color w:val="B8B8B8"/>
          <w:sz w:val="15"/>
          <w:szCs w:val="15"/>
          <w:lang w:eastAsia="ru-RU"/>
        </w:rPr>
        <w:fldChar w:fldCharType="separate"/>
      </w:r>
      <w:r w:rsidRPr="00BF69B1">
        <w:rPr>
          <w:rFonts w:ascii="Roboto" w:eastAsia="Times New Roman" w:hAnsi="Roboto" w:cs="Times New Roman"/>
          <w:color w:val="B8B8B8"/>
          <w:sz w:val="15"/>
          <w:u w:val="single"/>
          <w:lang w:eastAsia="ru-RU"/>
        </w:rPr>
        <w:t>Новости</w:t>
      </w:r>
      <w:r w:rsidRPr="00BF69B1">
        <w:rPr>
          <w:rFonts w:ascii="Roboto" w:eastAsia="Times New Roman" w:hAnsi="Roboto" w:cs="Times New Roman"/>
          <w:color w:val="B8B8B8"/>
          <w:sz w:val="15"/>
          <w:szCs w:val="15"/>
          <w:lang w:eastAsia="ru-RU"/>
        </w:rPr>
        <w:fldChar w:fldCharType="end"/>
      </w:r>
      <w:r w:rsidRPr="00BF69B1">
        <w:rPr>
          <w:rFonts w:ascii="Roboto" w:eastAsia="Times New Roman" w:hAnsi="Roboto" w:cs="Times New Roman"/>
          <w:color w:val="B8B8B8"/>
          <w:sz w:val="15"/>
          <w:szCs w:val="1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BF69B1">
        <w:rPr>
          <w:rFonts w:ascii="Roboto" w:eastAsia="Times New Roman" w:hAnsi="Roboto" w:cs="Times New Roman"/>
          <w:color w:val="B8B8B8"/>
          <w:sz w:val="15"/>
          <w:szCs w:val="15"/>
          <w:lang w:eastAsia="ru-RU"/>
        </w:rPr>
        <w:t>«Экосистема донского образования – практики будущего»</w:t>
      </w:r>
    </w:p>
    <w:p w:rsidR="00BF69B1" w:rsidRPr="00BF69B1" w:rsidRDefault="00BF69B1" w:rsidP="00BF69B1">
      <w:pPr>
        <w:shd w:val="clear" w:color="auto" w:fill="FFFFFF"/>
        <w:spacing w:before="100" w:after="100" w:line="240" w:lineRule="auto"/>
        <w:outlineLvl w:val="1"/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</w:pPr>
      <w:r w:rsidRPr="00BF69B1"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  <w:t>«Экосистема донского образования – практики будущего»</w:t>
      </w:r>
    </w:p>
    <w:p w:rsidR="00BF69B1" w:rsidRPr="00BF69B1" w:rsidRDefault="00BF69B1" w:rsidP="00BF69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Именно под таким названием сегодня, 25 августа, состоялась областная педагогическая конференция. В работе конференции принял участие губернатор Василий</w:t>
      </w:r>
      <w:proofErr w:type="gramStart"/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Г</w:t>
      </w:r>
      <w:proofErr w:type="gramEnd"/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олубев. </w:t>
      </w:r>
      <w:proofErr w:type="gramStart"/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С приветственным словом к собравшимся по видеосвязи обратился министр просвещения Российской Федерации Сергей Кравцов.</w:t>
      </w:r>
      <w:proofErr w:type="gramEnd"/>
    </w:p>
    <w:p w:rsidR="00BF69B1" w:rsidRPr="00BF69B1" w:rsidRDefault="00BF69B1" w:rsidP="00BF69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Конференцию провел министр общего и профессионального образования Ростовской области Андрей Фатеев. Участниками конференции стали руководители муниципальных органов управления образованием, руководители образовательных организаций региона, широкая педагогическая общественность, представители депутатского корпуса и лидеры профсоюзных организаций (всего порядка 1200 чел.).</w:t>
      </w:r>
    </w:p>
    <w:p w:rsidR="00BF69B1" w:rsidRPr="00BF69B1" w:rsidRDefault="00BF69B1" w:rsidP="00BF69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Основной вопрос – готовность к предстоящему учебному году донских образовательных организаций и задачи на новый период.</w:t>
      </w:r>
    </w:p>
    <w:p w:rsidR="00BF69B1" w:rsidRPr="00BF69B1" w:rsidRDefault="00BF69B1" w:rsidP="00BF69B1">
      <w:pPr>
        <w:shd w:val="clear" w:color="auto" w:fill="FFFFFF"/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Со слов губернатора Ростовской области Василия </w:t>
      </w:r>
      <w:proofErr w:type="spellStart"/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Голубева</w:t>
      </w:r>
      <w:proofErr w:type="spellEnd"/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: </w:t>
      </w:r>
      <w:r w:rsidRPr="00BF69B1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 xml:space="preserve">«За парты сядут более 450 тысяч школьников, около 200 тысяч студентов колледжей, техникумов и вузов, а в систему </w:t>
      </w:r>
      <w:proofErr w:type="spellStart"/>
      <w:r w:rsidRPr="00BF69B1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допобразования</w:t>
      </w:r>
      <w:proofErr w:type="spellEnd"/>
      <w:r w:rsidRPr="00BF69B1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 xml:space="preserve"> придут заниматься свыше 250 тысяч детей. Для создания комфортных условий обучения ежегодно проводится модернизация детсадов, школ, колледжей и техникумов. В этом году на капитальный ремонт 111 объектов направлено более 2,8 </w:t>
      </w:r>
      <w:proofErr w:type="spellStart"/>
      <w:r w:rsidRPr="00BF69B1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млрд</w:t>
      </w:r>
      <w:proofErr w:type="spellEnd"/>
      <w:r w:rsidRPr="00BF69B1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 xml:space="preserve"> рублей, идет подготовка проектов еще по десяткам объектов, - рассказал Василий</w:t>
      </w:r>
      <w:proofErr w:type="gramStart"/>
      <w:r w:rsidRPr="00BF69B1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 xml:space="preserve"> Г</w:t>
      </w:r>
      <w:proofErr w:type="gramEnd"/>
      <w:r w:rsidRPr="00BF69B1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олубев».</w:t>
      </w:r>
    </w:p>
    <w:p w:rsidR="00BF69B1" w:rsidRPr="00BF69B1" w:rsidRDefault="00BF69B1" w:rsidP="00BF69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При этом обновленные школы и детсады оснащаются новым современным оборудованием и техникой. Школы получают доступ к высокоскоростному интернету, услуги переводят в электронный формат. Открываются новые образовательные площадки. Активно работают 295 «точек роста», еще 251 центр откроется в наступающем учебном году.</w:t>
      </w:r>
    </w:p>
    <w:p w:rsidR="00BF69B1" w:rsidRPr="00BF69B1" w:rsidRDefault="00BF69B1" w:rsidP="00BF69B1">
      <w:pPr>
        <w:shd w:val="clear" w:color="auto" w:fill="FFFFFF"/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BF69B1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«Стоит задача интеграции детей и педагогов из ЛНР и ДНР в Российскую образовательную систему. Эта работа уже ведется. В Ростове создан центр – филиал Академии Министерства просвещения РФ, который занимается повышением квалификации и подготовкой учителей»</w:t>
      </w:r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 - отметил Василий</w:t>
      </w:r>
      <w:proofErr w:type="gramStart"/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Г</w:t>
      </w:r>
      <w:proofErr w:type="gramEnd"/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олубев.</w:t>
      </w:r>
    </w:p>
    <w:p w:rsidR="00BF69B1" w:rsidRPr="00BF69B1" w:rsidRDefault="00BF69B1" w:rsidP="00BF69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Глава области обратил внимание, что все желающие из Донецкой и Луганской Народных республик, а также других освобожденных территорий Украины зачислены в донские детские сады, школы, техникумы и колледжи. В общей сложности, в дошкольные учреждения региона пойдут около 500 детей, в школы – 2700 ребят.</w:t>
      </w:r>
    </w:p>
    <w:p w:rsidR="00BF69B1" w:rsidRPr="00BF69B1" w:rsidRDefault="00BF69B1" w:rsidP="00BF69B1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BF69B1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Губернатор поздравил педагогов с предстоящим началом нового учебного года, пожелав им плодотворной работы. Лучшим педагогам Дона были вручены региональные награды и поощрения.</w:t>
      </w:r>
    </w:p>
    <w:p w:rsidR="002935EC" w:rsidRDefault="00BF69B1">
      <w:r>
        <w:rPr>
          <w:noProof/>
          <w:lang w:eastAsia="ru-RU"/>
        </w:rPr>
        <w:lastRenderedPageBreak/>
        <w:drawing>
          <wp:inline distT="0" distB="0" distL="0" distR="0">
            <wp:extent cx="8523555" cy="5429250"/>
            <wp:effectExtent l="19050" t="0" r="0" b="0"/>
            <wp:docPr id="1" name="Рисунок 1" descr="http://www.obkomprof.ru/storage/app/uploads/public/630/783/9a2/6307839a248ad732898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komprof.ru/storage/app/uploads/public/630/783/9a2/6307839a248ad7328983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938" cy="543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5EC" w:rsidSect="0029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69B1"/>
    <w:rsid w:val="002935EC"/>
    <w:rsid w:val="00B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EC"/>
  </w:style>
  <w:style w:type="paragraph" w:styleId="2">
    <w:name w:val="heading 2"/>
    <w:basedOn w:val="a"/>
    <w:link w:val="20"/>
    <w:uiPriority w:val="9"/>
    <w:qFormat/>
    <w:rsid w:val="00BF6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9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F6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F69B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F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F69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2022-09-22T09:09:00Z</dcterms:created>
  <dcterms:modified xsi:type="dcterms:W3CDTF">2022-09-22T09:10:00Z</dcterms:modified>
</cp:coreProperties>
</file>