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64" w:rsidRDefault="00403407" w:rsidP="0040340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40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Пользователь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07" w:rsidRDefault="00403407" w:rsidP="0040340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407" w:rsidRDefault="00403407" w:rsidP="0040340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профессиональная образовательная программа</w:t>
      </w:r>
      <w:r w:rsidRPr="001804C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специалистов среднего звена</w:t>
      </w:r>
      <w:r w:rsidRPr="001804C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  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утверждённого  приказом Министерства </w:t>
      </w:r>
      <w:r w:rsid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 от </w:t>
      </w:r>
      <w:r w:rsid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ноября 2020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657</w:t>
      </w:r>
    </w:p>
    <w:p w:rsidR="001804C1" w:rsidRPr="001804C1" w:rsidRDefault="001804C1" w:rsidP="001804C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4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1804C1" w:rsidRPr="001804C1" w:rsidRDefault="00F91109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Шевякова Лилия Александровна</w:t>
      </w:r>
      <w:r w:rsidR="001804C1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о. заместителя директора по учебной работе СОГБПОУ  «Гагаринский многопрофильный колледж»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Писарева Лариса Ивановна,  </w:t>
      </w:r>
      <w:r w:rsid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отделением СОГБПОУ  «Гагаринский многопрофильный колледж»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Pr="001804C1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A" w:rsidRDefault="0035171A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A" w:rsidRDefault="0035171A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A" w:rsidRDefault="0035171A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A" w:rsidRDefault="0035171A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A" w:rsidRDefault="0035171A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71A" w:rsidRDefault="0035171A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Pr="001804C1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1.3.3. Трудоемкость ОПОП для лиц, обучающихся на базе основного общего образования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180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1804C1" w:rsidRPr="001804C1" w:rsidTr="009B204F">
        <w:tc>
          <w:tcPr>
            <w:tcW w:w="606" w:type="dxa"/>
            <w:vMerge w:val="restart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1804C1" w:rsidRPr="001804C1" w:rsidTr="001804C1">
        <w:tc>
          <w:tcPr>
            <w:tcW w:w="606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</w:t>
            </w:r>
          </w:p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общих компетенций выпускников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1804C1" w:rsidRPr="001804C1" w:rsidTr="001804C1">
        <w:tc>
          <w:tcPr>
            <w:tcW w:w="606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</w:tr>
    </w:tbl>
    <w:p w:rsidR="001804C1" w:rsidRPr="001804C1" w:rsidRDefault="001804C1" w:rsidP="00180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804C1" w:rsidRPr="001804C1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1804C1" w:rsidRPr="001804C1" w:rsidRDefault="001804C1" w:rsidP="001804C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293871391"/>
      <w:bookmarkStart w:id="2" w:name="_Toc310435901"/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 (программа подготовки специалистов среднего звена)</w:t>
      </w:r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1"/>
      <w:bookmarkEnd w:id="2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подготовки специалистов среднего звена (далее - ОПОП) по специальности  </w:t>
      </w:r>
      <w:r w:rsidRPr="001804C1">
        <w:rPr>
          <w:rFonts w:ascii="Times New Roman" w:hAnsi="Times New Roman" w:cs="Times New Roman"/>
          <w:sz w:val="28"/>
          <w:szCs w:val="28"/>
        </w:rPr>
        <w:t xml:space="preserve">36.02.01 Ветеринария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базовой   подготовки на базе основного  общего образования.</w:t>
      </w: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утверждённого  </w:t>
      </w:r>
      <w:r w:rsidR="00F91109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="00F91109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 от </w:t>
      </w:r>
      <w:r w:rsid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ноября 2020 </w:t>
      </w:r>
      <w:r w:rsidR="00F91109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657</w:t>
      </w:r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  <w:bookmarkStart w:id="3" w:name="_Toc293871392"/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1804C1" w:rsidRPr="001804C1" w:rsidRDefault="001804C1" w:rsidP="001804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Нормативную основу разработки ОПОП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подготовка)</w:t>
      </w:r>
      <w:r w:rsidRPr="00180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6440D4" w:rsidRDefault="00F91109" w:rsidP="006440D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293871393"/>
      <w:bookmarkStart w:id="6" w:name="_Toc310435903"/>
      <w:r w:rsidRPr="00644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Федерации»;</w:t>
      </w:r>
    </w:p>
    <w:p w:rsidR="006440D4" w:rsidRDefault="006440D4" w:rsidP="006440D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ноября 2020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657</w:t>
      </w:r>
      <w:r w:rsidRPr="0064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утверждающий ф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среднего профессионального образования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1109" w:rsidRPr="006440D4" w:rsidRDefault="00F91109" w:rsidP="006440D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F91109" w:rsidRPr="00F91109" w:rsidRDefault="00F91109" w:rsidP="006440D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Минобрнауки России от 05.02.2018 № 69 «Об утверждении федерального государственного образовательного стандарта среднего профессионального образования по профессии код, наименование» (зарегистрирован Министерством юстиции Российской Федерации 26 </w:t>
      </w:r>
      <w:r w:rsidRP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февраля 20</w:t>
      </w:r>
      <w:r w:rsidR="0064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г., регистрационный № 50137) </w:t>
      </w:r>
      <w:r w:rsidRP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изменениями;</w:t>
      </w:r>
    </w:p>
    <w:p w:rsidR="00F91109" w:rsidRPr="00F91109" w:rsidRDefault="00F91109" w:rsidP="006440D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91109" w:rsidRDefault="00F91109" w:rsidP="006440D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</w:t>
      </w:r>
      <w:r w:rsidR="0064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от 08 ноября 2021 г. № 800 </w:t>
      </w:r>
      <w:r w:rsidRP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3B2114" w:rsidRDefault="003B2114" w:rsidP="003B211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РФ от 19.01.2023г. № 37 «О внесении изменений в Приказ «Об утверждении порядка проведения государственной итоговой аттестации по образовательным программам среднего профессионального образования» от 8 ноября 2021 г. № 800»;</w:t>
      </w:r>
    </w:p>
    <w:p w:rsidR="006440D4" w:rsidRPr="006440D4" w:rsidRDefault="006440D4" w:rsidP="006440D4">
      <w:pPr>
        <w:pStyle w:val="af1"/>
        <w:numPr>
          <w:ilvl w:val="0"/>
          <w:numId w:val="23"/>
        </w:numPr>
        <w:tabs>
          <w:tab w:val="clear" w:pos="1440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0D4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Просвещения РФ от 19.01.2023г. № 37 «О внесении изменений в Приказ «Об утверждении порядка проведения государственной итоговой аттестации по образовательным программам среднего профессионального образования» от 8 ноября 2021 г. № 800»;</w:t>
      </w:r>
    </w:p>
    <w:p w:rsidR="00F91109" w:rsidRPr="00F91109" w:rsidRDefault="00F91109" w:rsidP="006440D4">
      <w:pPr>
        <w:widowControl w:val="0"/>
        <w:numPr>
          <w:ilvl w:val="0"/>
          <w:numId w:val="23"/>
        </w:numPr>
        <w:tabs>
          <w:tab w:val="clear" w:pos="1440"/>
          <w:tab w:val="left" w:pos="284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Минобрнауки России № 885, Минпросвещения России № 390  от 5 августа 2020 г. «О практической подготовке обучающихся» (вместе с «Положением о практической подготовке обучающихся»;</w:t>
      </w:r>
    </w:p>
    <w:p w:rsidR="001804C1" w:rsidRPr="00C932B9" w:rsidRDefault="001804C1" w:rsidP="006440D4">
      <w:pPr>
        <w:widowControl w:val="0"/>
        <w:tabs>
          <w:tab w:val="left" w:pos="284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bookmarkStart w:id="7" w:name="_Toc310435904"/>
    </w:p>
    <w:p w:rsidR="001804C1" w:rsidRPr="001804C1" w:rsidRDefault="001804C1" w:rsidP="00C932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hAnsi="Times New Roman" w:cs="Times New Roman"/>
          <w:b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(базовой подготовки)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7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колледжа в результате освоения ОПОП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подготовки) будет профессионально готов к выполнению следующих  видов деятельности:</w:t>
      </w:r>
    </w:p>
    <w:p w:rsidR="001804C1" w:rsidRPr="006440D4" w:rsidRDefault="001804C1" w:rsidP="006440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40D4">
        <w:rPr>
          <w:rFonts w:ascii="Times New Roman" w:hAnsi="Times New Roman" w:cs="Times New Roman"/>
          <w:sz w:val="28"/>
          <w:szCs w:val="28"/>
        </w:rPr>
        <w:t xml:space="preserve">1.  </w:t>
      </w:r>
      <w:r w:rsidR="006440D4" w:rsidRPr="006440D4">
        <w:rPr>
          <w:rFonts w:ascii="Times New Roman" w:hAnsi="Times New Roman" w:cs="Times New Roman"/>
          <w:sz w:val="28"/>
          <w:szCs w:val="28"/>
        </w:rPr>
        <w:t>Проведение ветеринарно-санитарных и зоогигиенических мероприятий</w:t>
      </w:r>
    </w:p>
    <w:p w:rsidR="001804C1" w:rsidRPr="006440D4" w:rsidRDefault="001804C1" w:rsidP="006440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40D4">
        <w:rPr>
          <w:rFonts w:ascii="Times New Roman" w:hAnsi="Times New Roman" w:cs="Times New Roman"/>
          <w:sz w:val="28"/>
          <w:szCs w:val="28"/>
        </w:rPr>
        <w:t xml:space="preserve">2. </w:t>
      </w:r>
      <w:r w:rsidR="006440D4" w:rsidRPr="006440D4">
        <w:rPr>
          <w:rFonts w:ascii="Times New Roman" w:hAnsi="Times New Roman" w:cs="Times New Roman"/>
          <w:sz w:val="28"/>
          <w:szCs w:val="28"/>
        </w:rPr>
        <w:t>Проведение профилактических, диагностических и лечебных мероприятий</w:t>
      </w:r>
    </w:p>
    <w:p w:rsidR="00330063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30063" w:rsidRPr="00C932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1804C1" w:rsidRPr="001804C1" w:rsidRDefault="001804C1" w:rsidP="006440D4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практикоориентированных знаний выпускника;</w:t>
      </w:r>
    </w:p>
    <w:p w:rsidR="001804C1" w:rsidRPr="001804C1" w:rsidRDefault="001804C1" w:rsidP="006440D4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1804C1" w:rsidRPr="001804C1" w:rsidRDefault="001804C1" w:rsidP="006440D4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1804C1" w:rsidRDefault="001804C1" w:rsidP="006440D4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готовности принимать решения и профессионально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действовать в нестандартных ситуациях.</w:t>
      </w:r>
    </w:p>
    <w:p w:rsidR="006440D4" w:rsidRDefault="006440D4" w:rsidP="006440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8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подготовки)  при очной форме получения образования и присваиваемая квалификация приводятся в таблице: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1804C1" w:rsidRPr="001804C1" w:rsidTr="001804C1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базовой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базовой подготовки в очной форме обучения</w:t>
            </w:r>
          </w:p>
        </w:tc>
      </w:tr>
      <w:tr w:rsidR="001804C1" w:rsidRPr="001804C1" w:rsidTr="001804C1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1.3.3. Трудоемкость ОПОП для лиц, обучающихся на базе основного общего образования </w:t>
      </w:r>
    </w:p>
    <w:p w:rsidR="001804C1" w:rsidRPr="001804C1" w:rsidRDefault="001804C1" w:rsidP="001804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8"/>
        <w:gridCol w:w="1445"/>
        <w:gridCol w:w="1713"/>
      </w:tblGrid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недель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6440D4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дисциплинам и междисциплинарным модулям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6440D4" w:rsidRDefault="006440D4" w:rsidP="00644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6440D4" w:rsidRDefault="006440D4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4212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6440D4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6440D4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6440D4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6440D4" w:rsidP="006440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6440D4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6440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4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3D020B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1224</w:t>
            </w:r>
          </w:p>
        </w:tc>
      </w:tr>
      <w:tr w:rsidR="001804C1" w:rsidRPr="001804C1" w:rsidTr="006440D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3D020B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7164</w:t>
            </w:r>
          </w:p>
        </w:tc>
      </w:tr>
    </w:tbl>
    <w:p w:rsidR="001804C1" w:rsidRDefault="001804C1" w:rsidP="003300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0435906"/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учебного процесса осуществляется по классно-урочной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образовании).</w:t>
      </w:r>
    </w:p>
    <w:p w:rsidR="001804C1" w:rsidRPr="001804C1" w:rsidRDefault="001804C1" w:rsidP="001804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предоставить документ об образовании (аттестат об основном общем образовании).</w:t>
      </w:r>
    </w:p>
    <w:p w:rsidR="001804C1" w:rsidRPr="001804C1" w:rsidRDefault="001804C1" w:rsidP="001804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специальности 36.02.01 Ветеринария востребованы в организациях и учреждениях агропромышленного комплекса Смоленской  области и др. областях РФ независимо от их организационно-правовых форм, в которых могут осуществлять соответствующую профессиональную деятельность.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Выпускник, освоивший ОПОП по специальности 36.02.01 Ветеринария подготовлен к освоению</w:t>
      </w:r>
    </w:p>
    <w:p w:rsidR="001804C1" w:rsidRPr="001804C1" w:rsidRDefault="001804C1" w:rsidP="0061733D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ОПОП высшего образования </w:t>
      </w:r>
    </w:p>
    <w:p w:rsidR="001804C1" w:rsidRPr="001804C1" w:rsidRDefault="001804C1" w:rsidP="001804C1">
      <w:pPr>
        <w:widowControl w:val="0"/>
        <w:spacing w:after="0" w:line="240" w:lineRule="auto"/>
        <w:ind w:left="7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36.02.01 Ветеринария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310435908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10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организация и осуществление деятельности по оказанию ветеринарных услуг путем проведения профилактических, диагностических и лечебных мероприятий.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сельскохозяйственные и домашние животные, их окружение и условия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содержания;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сельскохозяйственная продукция и сырье животного происхождения; биологические, лекарственные и дезинфицирующие препараты, предназначенные для животных;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ветеринарные инструменты, оборудование и аппаратура;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заболеваниях животных и мерах по их профилактике;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процессы организации и управления в ветеринарии;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первичные трудовые коллективы.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3D020B" w:rsidRPr="001804C1" w:rsidRDefault="003D020B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Требования к результатам освоения</w:t>
      </w:r>
      <w:bookmarkEnd w:id="13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следующими общими (ОК)  компетенциями: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2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widowControl w:val="0"/>
              <w:spacing w:after="0" w:line="240" w:lineRule="auto"/>
              <w:ind w:left="34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3D02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3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2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4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2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5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2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6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7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8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9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3D020B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3D020B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0B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10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0B" w:rsidRPr="003D020B" w:rsidRDefault="003D020B" w:rsidP="003D020B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профессиональными  компетенциями, соответствующие основным видам деятельности:</w:t>
      </w: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2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Проведение ветеринарно-санитарных и зоогигиенических мероприятий:</w:t>
            </w:r>
          </w:p>
        </w:tc>
      </w:tr>
      <w:tr w:rsidR="001804C1" w:rsidRPr="001804C1" w:rsidTr="001804C1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санитарного и зоогигиенического состояния объектов </w:t>
            </w:r>
            <w:r w:rsidRPr="003D02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животноводства и кормов.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Проведение ветеринарно-санитарных мероприятий для предупреждения возникновения болезней животных.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Проведение ветеринарно-санитарных мероприятий в условиях специализированных животноводческих хозяйств.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ВПД </w:t>
            </w: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20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профилактических, диагностических и лечебных мероприятий: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Предупреждение заболеваний животных, проведение санитарно-просветительской деятельности.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Выполнение лечебно-диагностических ветеринарных манипуляций.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3D020B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20B">
              <w:rPr>
                <w:rFonts w:ascii="Times New Roman" w:hAnsi="Times New Roman" w:cs="Times New Roman"/>
                <w:sz w:val="28"/>
                <w:szCs w:val="28"/>
              </w:rPr>
              <w:t>Выполнение лечебно-диагностических ветеринарных мероприятий в условиях специализированных животноводческих хозяйств.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ВПД.3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  <w:r w:rsidR="003300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30063">
              <w:t xml:space="preserve"> </w:t>
            </w:r>
            <w:r w:rsidR="00330063" w:rsidRPr="00330063">
              <w:rPr>
                <w:rFonts w:ascii="Times New Roman" w:hAnsi="Times New Roman" w:cs="Times New Roman"/>
                <w:b/>
                <w:sz w:val="28"/>
                <w:szCs w:val="28"/>
              </w:rPr>
              <w:t>15830</w:t>
            </w:r>
            <w:r w:rsidR="003300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0063">
              <w:t xml:space="preserve"> </w:t>
            </w:r>
            <w:r w:rsidR="00330063" w:rsidRPr="00330063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 по искусственному осеменению животных и птицы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ПК.3</w:t>
            </w:r>
            <w:r w:rsidR="001804C1"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выявлении самок в охоте.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ПК.3</w:t>
            </w:r>
            <w:r w:rsidR="001804C1"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Давать рекомендации по особенностям содержания, кормления и использования производителей.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ПК.3</w:t>
            </w:r>
            <w:r w:rsidR="001804C1"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Проводить получение спермы, оценивать ее качества.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ПК.3</w:t>
            </w:r>
            <w:r w:rsidR="001804C1"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выборке животных в охоте.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ПК.3</w:t>
            </w:r>
            <w:r w:rsidR="001804C1"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Соблюдать ветеринарно-санитарные правила искусственного осеменения.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3D020B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ПК.3</w:t>
            </w:r>
            <w:r w:rsidR="001804C1"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Вести учетно-отчетную документацию.</w:t>
            </w:r>
          </w:p>
        </w:tc>
      </w:tr>
    </w:tbl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4C1">
        <w:rPr>
          <w:rFonts w:ascii="Times New Roman" w:eastAsia="Calibri" w:hAnsi="Times New Roman" w:cs="Times New Roman"/>
          <w:b/>
          <w:bCs/>
          <w:sz w:val="28"/>
          <w:szCs w:val="28"/>
        </w:rPr>
        <w:t>3.3. Результаты освоения ОПОП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804C1">
        <w:rPr>
          <w:rFonts w:ascii="Times New Roman" w:eastAsia="TimesNewRomanPSMT" w:hAnsi="Times New Roman" w:cs="Times New Roman"/>
          <w:sz w:val="28"/>
          <w:szCs w:val="28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tbl>
      <w:tblPr>
        <w:tblW w:w="9332" w:type="dxa"/>
        <w:tblInd w:w="-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6997"/>
      </w:tblGrid>
      <w:tr w:rsidR="002A18A5" w:rsidRPr="00935F07" w:rsidTr="002A18A5">
        <w:tc>
          <w:tcPr>
            <w:tcW w:w="22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3B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2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70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3B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2"/>
                <w:sz w:val="24"/>
                <w:szCs w:val="24"/>
                <w:lang w:eastAsia="ru-RU"/>
              </w:rPr>
              <w:t>Требования к знаниям, умениям, практическому опыту</w:t>
            </w:r>
          </w:p>
        </w:tc>
      </w:tr>
      <w:tr w:rsidR="002A18A5" w:rsidRPr="00935F07" w:rsidTr="002A18A5">
        <w:tc>
          <w:tcPr>
            <w:tcW w:w="22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2A18A5">
            <w:pPr>
              <w:pStyle w:val="af1"/>
              <w:numPr>
                <w:ilvl w:val="0"/>
                <w:numId w:val="25"/>
              </w:numPr>
              <w:spacing w:after="0" w:line="240" w:lineRule="auto"/>
              <w:ind w:left="135" w:firstLine="142"/>
              <w:rPr>
                <w:rFonts w:ascii="Times New Roman" w:eastAsia="Times New Roman" w:hAnsi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70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знать: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нормативные зоогигиенические и ветеринарно-санитарные показатели в животноводстве;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ветеринарно-санитарные и зоогигиенические требования к условиям содержания и кормления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отбора проб кормов, смывов, материалов для лабораторных исследований;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методы дезинфекции, дезинсекции и дератизации объектов животноводства;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методы стерилизации ветеринарного инструментария;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правила сбора и утилизации трупов животных и биологических </w:t>
            </w: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lastRenderedPageBreak/>
              <w:t>отходов;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утилизации ветеринарных препаратов;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методы проведения исследований биологического материала, продуктов и сырья животного и растительного происхождения с целью предупреждения возникновения болезней;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методы предубойного осмотра животных и послеубойного ветеринарно-санитарного осмотра туш и органов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нормативные акты в области ветеринарии;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требования охраны труда;</w:t>
            </w:r>
          </w:p>
        </w:tc>
      </w:tr>
      <w:tr w:rsidR="002A18A5" w:rsidRPr="00935F07" w:rsidTr="002A18A5">
        <w:tc>
          <w:tcPr>
            <w:tcW w:w="22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935F07" w:rsidRDefault="002A18A5" w:rsidP="003B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0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уметь: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определять органолептически, визуально и по показателям отклонения от нормы зоогигиенических параметров на объектах животноводства;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использовать метрологическое оборудование для определения показателей микроклимата;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использовать средства индивидуальной защиты работниками животноводческих объектов;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использовать оборудование, предназначенное для санации животноводческих помещений;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пользоваться техническими средствами и методами для проведения стерилизации;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готовить рабочие растворы средств проведения ветеринарно-санитарных мероприятий согласно инструкциям и наставлениям с соблюдением правил безопасности;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применять нормативные требования в области ветеринарии;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интерпретировать результаты предубойного осмотра животных и послеубойного ветеринарно-санитарного осмотра туш и органов животных;</w:t>
            </w:r>
          </w:p>
        </w:tc>
      </w:tr>
      <w:tr w:rsidR="002A18A5" w:rsidRPr="00935F07" w:rsidTr="002A18A5">
        <w:tc>
          <w:tcPr>
            <w:tcW w:w="22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935F07" w:rsidRDefault="002A18A5" w:rsidP="003B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0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иметь практический опыт в: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контроле санитарных и зоогигиенических параметров в животноводческих и птицеводческих помещениях;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проверке санитарного состояния пастбищ и мест водопоя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контроле санитарных показателей различных видов кормов для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отборе материала для лабораторных исследований;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проверке средств для транспортировки животных на предмет соответствия ветеринарно-санитарным правилам;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оформлении результатов контроля;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осуществлении контроля соблюдения правил использования средств индивидуальной защиты и гигиенических норм работниками, занятыми в животноводстве;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проведении дезинфекции животноводческих и птицеводческих помещений, мест временного содержания животных и птицы, оборудования, инвентаря и агрегатов, используемых в животноводстве и птицеводстве;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дезинсекции и дератизации животноводческих и птицеводческих объектов;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утилизации трупов животных, биологических отходов и ветеринарных препаратов;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стерилизации ветеринарного инструментария;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подготовке средств для выполнения ветеринарно-санитарных </w:t>
            </w: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lastRenderedPageBreak/>
              <w:t>мероприятий и соответствующего инструментария в зависимости от условий микроклимата и условий среды;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предубойном осмотре животных и послеубойном ветеринарно-санитарном осмотре туш и органов животных.</w:t>
            </w:r>
          </w:p>
        </w:tc>
      </w:tr>
      <w:tr w:rsidR="002A18A5" w:rsidRPr="00935F07" w:rsidTr="002A18A5">
        <w:tc>
          <w:tcPr>
            <w:tcW w:w="22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2A18A5">
            <w:pPr>
              <w:pStyle w:val="af1"/>
              <w:numPr>
                <w:ilvl w:val="0"/>
                <w:numId w:val="25"/>
              </w:numPr>
              <w:spacing w:after="0" w:line="240" w:lineRule="auto"/>
              <w:ind w:left="135" w:firstLine="284"/>
              <w:rPr>
                <w:rFonts w:ascii="Times New Roman" w:eastAsia="Times New Roman" w:hAnsi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lastRenderedPageBreak/>
              <w:t>Проведение профилактических, диагностических и лечебных мероприятий</w:t>
            </w:r>
          </w:p>
        </w:tc>
        <w:tc>
          <w:tcPr>
            <w:tcW w:w="70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знать: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меры профилактики заболеваний животных различной этиологии;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основные методы и формы санитарно-просветительской деятельности;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применения биологических и противопаразитарных препаратов;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отбора и хранения биологического материала;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основы полноценного кормления животных и последствия его несоблюдения;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основные нормативные акты в области ветеринарии, действующие на территории Российской Федерации;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основы ветеринарного делопроизводства, учета и отчетности в ветеринарии;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анатомо-топографические характеристики организма животных с учетом видовых особенностей;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нормативные данные физиологических показателей у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морфологические и биологические характеристики возбудителей инфекционных и инвазионных заболеваний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методы диагностики и лечения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фармакологические свойства основных групп ветеринарных препаратов;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хранения и использования лекарственных средств ветеринарного назначения;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применения диагностических препаратов;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методы кастрации животных и родовспоможения животным;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основы механизмов развития и течения заболеваний у животных различной этиологии;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асептики и антисептики;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критерии оценки эффективности терапии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правила ветеринарного документооборота;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требования охраны труда;</w:t>
            </w:r>
          </w:p>
        </w:tc>
      </w:tr>
      <w:tr w:rsidR="002A18A5" w:rsidRPr="00935F07" w:rsidTr="002A18A5">
        <w:tc>
          <w:tcPr>
            <w:tcW w:w="22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935F07" w:rsidRDefault="002A18A5" w:rsidP="003B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0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2A18A5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уметь: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готовить к использованию биопрепараты в соответствии с инструкциями по их применению;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пользоваться техникой постановки аллергических проб;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пользоваться техникой введения биопрепаратов;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готовить средства для дезинфекции;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производить оценку рациона кормления для животных различных видов;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определять клиническое состояние животных общими и инструментальными методами;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пользоваться ветеринарной терапевтической техникой;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использовать терапевтический и диагностический ветеринарный инструментарий;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применять ветеринарные фармакологические средства;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lastRenderedPageBreak/>
              <w:t>вскрывать трупы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анализировать и интерпретировать результаты диагностических и терапевтических манипуляций;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подбирать инструментарий и лекарственные средства для проведения диагностики и терапии животных;</w:t>
            </w:r>
          </w:p>
        </w:tc>
      </w:tr>
      <w:tr w:rsidR="002A18A5" w:rsidRPr="00935F07" w:rsidTr="002A18A5">
        <w:tc>
          <w:tcPr>
            <w:tcW w:w="226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935F07" w:rsidRDefault="002A18A5" w:rsidP="003B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0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2A18A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иметь практический опыт в</w:t>
            </w: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: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проведении иммунизации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отборе проб биологического материала от животных, кормов и воды, их упаковка и подготовка для исследований;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постановке аллергических проб у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проведении противопаразитарных обработок;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оценке рационов кормления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ведении ветеринарной отчетности и учета;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подготовке животных к проведению диагностических и терапевтических манипуляций;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проведении обследования общего и физиологического состояния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проведении инструментального обследования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проведении диспансеризации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установлении клинического диагноза по результатам проведенных диагностических мероприятий;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проведении терапии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произведении акушерской помощи животным по родовспоможению;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выполнении кастрации животных и косметических хирургических операций;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выполнении патологоанатомического вскрытия трупов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оценке эффективности индивидуальной и групповой терапии у животных;</w:t>
            </w:r>
          </w:p>
          <w:p w:rsidR="002A18A5" w:rsidRPr="00935F07" w:rsidRDefault="002A18A5" w:rsidP="002A18A5">
            <w:pPr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35F0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оформлении результатов выполнения диагностических и терапевтических манипуляций.</w:t>
            </w:r>
          </w:p>
        </w:tc>
      </w:tr>
    </w:tbl>
    <w:p w:rsidR="001804C1" w:rsidRPr="001804C1" w:rsidRDefault="001804C1" w:rsidP="001804C1">
      <w:pPr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5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8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1804C1" w:rsidRPr="001804C1" w:rsidRDefault="001804C1" w:rsidP="003D020B">
      <w:pPr>
        <w:widowControl w:val="0"/>
        <w:numPr>
          <w:ilvl w:val="0"/>
          <w:numId w:val="4"/>
        </w:numPr>
        <w:tabs>
          <w:tab w:val="clear" w:pos="1440"/>
          <w:tab w:val="num" w:pos="0"/>
          <w:tab w:val="num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1804C1" w:rsidRPr="001804C1" w:rsidRDefault="001804C1" w:rsidP="001804C1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1804C1" w:rsidRPr="001804C1" w:rsidRDefault="001804C1" w:rsidP="001804C1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составляет 54 академических часа в неделю, включая все виды аудиторной и внеаудиторной работы. Максимальный объем обязательной аудиторной учебной нагрузки обучающихся при очной форме обучения составляет 36 академических часов в неделю. Обязательная аудиторная нагрузка предполагает уроки, лекции, практические занятия, лабораторные занятия и выполнение курсовых работ. Соотношение часов аудиторной и внеаудиторной (самостоятельной) работой студентов по образовательной программе составляет в целом 70:30. Самостоятельная работа организуется в форме выполнения курсовых работ, подготовки рефератов, выполнение заданий по сбору материала во время практики и т.д.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ОПОП специальности 36.02.01 Ветеринария  предполагает изучение следующих учебных циклов: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spacing w:after="0" w:line="240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– ОД.00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социально-экономический  - ОГСЭ.00;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1804C1" w:rsidRPr="001804C1" w:rsidRDefault="00330063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</w:t>
      </w:r>
      <w:r w:rsidR="001804C1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- ГИА.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Циклы ОГСЭ и ЕН состоят из дисциплин: Основы философии, История, Иностранный язык, Физическая культура.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цикл состоит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общепрофессиональных дисциплин и профессиональных модулей (ПМ) в соответствии с основными видами деятельности. В состав каждого ПМ входят междисциплинарные курсы.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профессиональном цикле предусматривается обязательное изучение дисциплины «Безопасность жизнедеятельности».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распределена с учетом региональных особенностей, специфики образовательного учреждения и запросов работодателей.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 ОГСЭ увеличен на </w:t>
      </w:r>
      <w:r w:rsidR="00B37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B37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04C1" w:rsidRDefault="00B37399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 ЕН увеличен на 20 </w:t>
      </w:r>
      <w:r w:rsidR="001804C1"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804C1"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7399" w:rsidRPr="001804C1" w:rsidRDefault="00B37399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Общепрофессиональный цикл увеличен на 115 часов.</w:t>
      </w:r>
    </w:p>
    <w:p w:rsidR="001804C1" w:rsidRPr="001804C1" w:rsidRDefault="001804C1" w:rsidP="001804C1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Профессиональный цикл увеличен на </w:t>
      </w:r>
      <w:r w:rsidR="00B37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721 час.</w:t>
      </w:r>
    </w:p>
    <w:p w:rsidR="001804C1" w:rsidRPr="001804C1" w:rsidRDefault="001804C1" w:rsidP="001804C1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представлен в Приложении 1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календарном учебном графике указывается последовательность реализации ОПОП по специальности  36.02.01 Ветеринария, включая теоретическое обучение, практики, промежуточные и итоговую аттестации,   каникулы (Приложение 2)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  <w:bookmarkEnd w:id="16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Рабочие  программы учебных дисциплин, профессиональных модулей, междисциплинарных курсов, входящих в состав модулей</w:t>
      </w:r>
    </w:p>
    <w:p w:rsidR="001804C1" w:rsidRPr="001804C1" w:rsidRDefault="001804C1" w:rsidP="00180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программ учебных дисциплин  по ФГОС СПО в СОГБПОУ  «Гагаринский многопрофильный  колледж», рассматриваются на заседаниях 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 Рабочие программы профессиональных модулей согласовываются   с работодателями.</w:t>
      </w:r>
    </w:p>
    <w:p w:rsidR="001804C1" w:rsidRPr="001804C1" w:rsidRDefault="001804C1" w:rsidP="00180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</w:t>
            </w:r>
            <w:r w:rsidR="00170B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B37399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804C1" w:rsidRPr="001804C1" w:rsidTr="001804C1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B37399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 xml:space="preserve">Д.08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2B1F28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2B1F28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2B1F28" w:rsidP="00B37399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B37399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Д.13*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2B1F28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Индивидуальный проект*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2B1F28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ОГСЭ.</w:t>
            </w:r>
            <w:r w:rsidR="001804C1" w:rsidRPr="001804C1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Общий гуманитарный и социально-экономический цикл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2B1F28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2B1F28" w:rsidRPr="001804C1" w:rsidTr="004B02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ОГСЭ.05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Психология общения</w:t>
            </w:r>
          </w:p>
        </w:tc>
      </w:tr>
      <w:tr w:rsidR="002B1F28" w:rsidRPr="001804C1" w:rsidTr="00474C0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ОГСЭ.06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Планирование будущей карьеры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и общий естественнонаучный цикл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2B1F28" w:rsidRPr="001804C1" w:rsidTr="000F58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ЕН.02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</w:tr>
      <w:tr w:rsidR="002B1F28" w:rsidRPr="001804C1" w:rsidTr="006F39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>ЕН.03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28" w:rsidRPr="002B1F28" w:rsidRDefault="002B1F28" w:rsidP="002B1F28">
            <w:pPr>
              <w:rPr>
                <w:rFonts w:ascii="Times New Roman" w:hAnsi="Times New Roman"/>
                <w:sz w:val="24"/>
                <w:szCs w:val="24"/>
              </w:rPr>
            </w:pPr>
            <w:r w:rsidRPr="002B1F28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 xml:space="preserve">Общепрофессиональные дисциплины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 w:rsidR="00170B1D"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Анатомия и физиология животных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 w:rsidR="00170B1D"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Латинский язык в ветеринарии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 w:rsidR="00170B1D"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Основы микробиологии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 w:rsidR="00170B1D"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70B1D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  <w:r w:rsidR="001804C1" w:rsidRPr="001804C1">
              <w:rPr>
                <w:rFonts w:ascii="Times New Roman" w:hAnsi="Times New Roman"/>
                <w:sz w:val="24"/>
                <w:szCs w:val="24"/>
              </w:rPr>
              <w:t>Основы зоотехнии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 w:rsidR="00170B1D"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Ветеринарная фармакология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lastRenderedPageBreak/>
              <w:t>ОП</w:t>
            </w:r>
            <w:r w:rsidR="00170B1D"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70B1D" w:rsidP="0018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Основы экономики, менеджмента и маркетинга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sz w:val="24"/>
                <w:szCs w:val="24"/>
              </w:rPr>
              <w:t>Основы зоотехнии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b/>
                <w:sz w:val="24"/>
                <w:szCs w:val="24"/>
              </w:rPr>
              <w:t>Проведение ветеринарно-санитарных и зоогигиенических мероприятий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sz w:val="24"/>
                <w:szCs w:val="24"/>
              </w:rPr>
              <w:t>Контроль санитарного и зоогигиенического состояния объектов животноводства и кормов</w:t>
            </w:r>
          </w:p>
        </w:tc>
      </w:tr>
      <w:tr w:rsidR="00170B1D" w:rsidRPr="001804C1" w:rsidTr="002A715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sz w:val="24"/>
                <w:szCs w:val="24"/>
              </w:rPr>
              <w:t>МДК.01.02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sz w:val="24"/>
                <w:szCs w:val="24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b/>
                <w:sz w:val="24"/>
                <w:szCs w:val="24"/>
              </w:rPr>
              <w:t>Проведение  профилактических, диагностических, и лечебных мероприятий</w:t>
            </w:r>
          </w:p>
        </w:tc>
      </w:tr>
      <w:tr w:rsidR="00170B1D" w:rsidRPr="001804C1" w:rsidTr="001938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</w:rPr>
            </w:pPr>
            <w:r w:rsidRPr="00170B1D">
              <w:rPr>
                <w:rFonts w:ascii="Times New Roman" w:hAnsi="Times New Roman"/>
              </w:rPr>
              <w:t>МДК.02.0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</w:rPr>
            </w:pPr>
            <w:r w:rsidRPr="00170B1D">
              <w:rPr>
                <w:rFonts w:ascii="Times New Roman" w:hAnsi="Times New Roman"/>
              </w:rPr>
              <w:t>Предупреждение заболеваний животных, проведение санитарно-просветительской деятельности</w:t>
            </w:r>
          </w:p>
        </w:tc>
      </w:tr>
      <w:tr w:rsidR="00170B1D" w:rsidRPr="001804C1" w:rsidTr="005E03E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sz w:val="24"/>
                <w:szCs w:val="24"/>
              </w:rPr>
              <w:t>МДК.02.0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sz w:val="24"/>
                <w:szCs w:val="24"/>
              </w:rPr>
              <w:t>Выполнение лечебно-диагностических ветеринарных манипуляций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sz w:val="24"/>
                <w:szCs w:val="24"/>
              </w:rPr>
            </w:pPr>
            <w:r w:rsidRPr="00170B1D">
              <w:rPr>
                <w:rFonts w:ascii="Times New Roman" w:hAnsi="Times New Roman"/>
                <w:b/>
                <w:sz w:val="24"/>
                <w:szCs w:val="24"/>
              </w:rPr>
              <w:t>Выполнение работ по одной или нескольким  профессиям рабочих, должностям служащих</w:t>
            </w:r>
          </w:p>
        </w:tc>
      </w:tr>
      <w:tr w:rsidR="00170B1D" w:rsidRPr="001804C1" w:rsidTr="000D39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</w:rPr>
            </w:pPr>
            <w:r w:rsidRPr="00170B1D">
              <w:rPr>
                <w:rFonts w:ascii="Times New Roman" w:hAnsi="Times New Roman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D" w:rsidRPr="00170B1D" w:rsidRDefault="00170B1D" w:rsidP="00170B1D">
            <w:pPr>
              <w:rPr>
                <w:rFonts w:ascii="Times New Roman" w:hAnsi="Times New Roman"/>
              </w:rPr>
            </w:pPr>
            <w:r w:rsidRPr="00170B1D">
              <w:rPr>
                <w:rFonts w:ascii="Times New Roman" w:hAnsi="Times New Roman"/>
              </w:rPr>
              <w:t>Технология выполнения работ по одной или нескольким профессиям рабочих, должностям служащих</w:t>
            </w:r>
          </w:p>
          <w:p w:rsidR="00170B1D" w:rsidRPr="00170B1D" w:rsidRDefault="00170B1D" w:rsidP="00170B1D">
            <w:pPr>
              <w:rPr>
                <w:rFonts w:ascii="Times New Roman" w:hAnsi="Times New Roman"/>
              </w:rPr>
            </w:pPr>
            <w:r w:rsidRPr="00170B1D">
              <w:rPr>
                <w:rFonts w:ascii="Times New Roman" w:hAnsi="Times New Roman"/>
              </w:rPr>
              <w:t>Оператор по искусственному осеменению животных и птицы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70B1D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1D" w:rsidRPr="001804C1" w:rsidRDefault="00170B1D" w:rsidP="00170B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</w:tbl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804C1">
        <w:rPr>
          <w:rFonts w:ascii="Times New Roman" w:eastAsia="Calibri" w:hAnsi="Times New Roman" w:cs="Times New Roman"/>
          <w:sz w:val="28"/>
          <w:szCs w:val="28"/>
        </w:rPr>
        <w:t>Аннотации рабочих программ учебных дисциплин, профессиональных модулей представлены в Приложении 3.</w:t>
      </w:r>
    </w:p>
    <w:p w:rsidR="001804C1" w:rsidRPr="001804C1" w:rsidRDefault="001804C1" w:rsidP="001804C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04C1" w:rsidRPr="001804C1" w:rsidRDefault="001804C1" w:rsidP="009B20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310435920"/>
      <w:bookmarkEnd w:id="17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8"/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9" w:name="_Toc198313566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практики  разработана  на основе «</w:t>
      </w:r>
      <w:r w:rsidRPr="001804C1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04C1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1804C1" w:rsidRPr="001804C1" w:rsidRDefault="001804C1" w:rsidP="00180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1804C1" w:rsidRPr="001804C1" w:rsidRDefault="001804C1" w:rsidP="001804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реализуются   концентрированно в несколько периодов.</w:t>
      </w:r>
    </w:p>
    <w:p w:rsidR="001804C1" w:rsidRPr="001804C1" w:rsidRDefault="001804C1" w:rsidP="00180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и методы контроля и оценки результатов учебных и производственных практик позволяют проверять у обучающихся, как сформированность профессиональных компетенций, приобретение практического опыта, так и развитие общих компетенций.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учебной и производственной практики осуществляется путем: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ежедневный контроль посещаемости практики;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наблюдением за выполнением видов работ на практике (в соответствии с календарно-тематическим планом практик);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качества выполнения видов работ по практике (уровень овладения ПК и ОК при выполнении работ оценивается в аттестационном листе и характеристике с практики);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выполнения конкретных индивидуальных заданий;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сбора материала для отчета по практике в соответствии с заданием на практику;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оформления дневника и отчета по учебной и производственной практике.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практики руководителями практики от организации и от колледжа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аттестации по учебной и производственной практике студентами представляются отчеты по выполнению заданий по практике и дневники о прохождении практики. Аттестация по итогам учебной и производственной практики производится на основании защиты отчета и устного ответа обучающегося на вопросы по теме практики. По итогам производственной практики аттестация проводится с учетом результатов, подтверждаемых документами соответствующих организации (Приложение 4)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9B204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71A" w:rsidRDefault="0035171A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B1D" w:rsidRPr="001804C1" w:rsidRDefault="00170B1D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9"/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1804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1804C1" w:rsidRPr="001804C1" w:rsidRDefault="001804C1" w:rsidP="001804C1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1804C1" w:rsidRPr="001804C1" w:rsidRDefault="001804C1" w:rsidP="001804C1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 ставится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1804C1" w:rsidRPr="001804C1" w:rsidRDefault="001804C1" w:rsidP="001804C1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1804C1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1804C1" w:rsidRPr="001804C1" w:rsidRDefault="001804C1" w:rsidP="001804C1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успеваемости преподаватель обязан производить учет посещения обучающимися  всех видов аудиторных занятий, предусмотренных рабочей программой учебной дисциплины, профессионального модуля.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170B1D" w:rsidRDefault="001804C1" w:rsidP="00170B1D">
      <w:pPr>
        <w:pStyle w:val="af1"/>
        <w:numPr>
          <w:ilvl w:val="0"/>
          <w:numId w:val="26"/>
        </w:numPr>
        <w:tabs>
          <w:tab w:val="left" w:pos="586"/>
          <w:tab w:val="left" w:pos="993"/>
        </w:tabs>
        <w:autoSpaceDE w:val="0"/>
        <w:autoSpaceDN w:val="0"/>
        <w:adjustRightInd w:val="0"/>
        <w:spacing w:before="14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входной контроль;</w:t>
      </w:r>
    </w:p>
    <w:p w:rsidR="00170B1D" w:rsidRDefault="001804C1" w:rsidP="00170B1D">
      <w:pPr>
        <w:pStyle w:val="af1"/>
        <w:numPr>
          <w:ilvl w:val="0"/>
          <w:numId w:val="26"/>
        </w:numPr>
        <w:tabs>
          <w:tab w:val="left" w:pos="586"/>
          <w:tab w:val="left" w:pos="993"/>
        </w:tabs>
        <w:autoSpaceDE w:val="0"/>
        <w:autoSpaceDN w:val="0"/>
        <w:adjustRightInd w:val="0"/>
        <w:spacing w:before="14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рубежный контроль;</w:t>
      </w:r>
    </w:p>
    <w:p w:rsidR="001804C1" w:rsidRPr="00170B1D" w:rsidRDefault="001804C1" w:rsidP="00170B1D">
      <w:pPr>
        <w:pStyle w:val="af1"/>
        <w:numPr>
          <w:ilvl w:val="0"/>
          <w:numId w:val="26"/>
        </w:numPr>
        <w:tabs>
          <w:tab w:val="left" w:pos="586"/>
          <w:tab w:val="left" w:pos="993"/>
        </w:tabs>
        <w:autoSpaceDE w:val="0"/>
        <w:autoSpaceDN w:val="0"/>
        <w:adjustRightInd w:val="0"/>
        <w:spacing w:before="14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итоговый контроль.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сформированности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предыдущем учебном году и продолжают изучаться в новом учебном голу, в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первых двух недель следующего  семестра. По общеобразовательным дисциплинам входной контроль проводится по всем изучаемым учебным дисциплинам.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1804C1" w:rsidRPr="001804C1" w:rsidRDefault="001804C1" w:rsidP="001804C1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1804C1" w:rsidRPr="00170B1D" w:rsidRDefault="001804C1" w:rsidP="00170B1D">
      <w:pPr>
        <w:pStyle w:val="af1"/>
        <w:numPr>
          <w:ilvl w:val="0"/>
          <w:numId w:val="27"/>
        </w:numPr>
        <w:tabs>
          <w:tab w:val="left" w:pos="509"/>
          <w:tab w:val="left" w:pos="1134"/>
        </w:tabs>
        <w:autoSpaceDE w:val="0"/>
        <w:autoSpaceDN w:val="0"/>
        <w:adjustRightInd w:val="0"/>
        <w:spacing w:before="5"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устный опрос;</w:t>
      </w:r>
    </w:p>
    <w:p w:rsidR="001804C1" w:rsidRPr="00170B1D" w:rsidRDefault="001804C1" w:rsidP="00170B1D">
      <w:pPr>
        <w:pStyle w:val="af1"/>
        <w:numPr>
          <w:ilvl w:val="0"/>
          <w:numId w:val="27"/>
        </w:numPr>
        <w:tabs>
          <w:tab w:val="left" w:pos="509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1804C1" w:rsidRPr="00170B1D" w:rsidRDefault="001804C1" w:rsidP="00170B1D">
      <w:pPr>
        <w:pStyle w:val="af1"/>
        <w:numPr>
          <w:ilvl w:val="0"/>
          <w:numId w:val="27"/>
        </w:numPr>
        <w:tabs>
          <w:tab w:val="left" w:pos="509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проверка выполнения домашних заданий;</w:t>
      </w:r>
    </w:p>
    <w:p w:rsidR="001804C1" w:rsidRPr="00170B1D" w:rsidRDefault="001804C1" w:rsidP="00170B1D">
      <w:pPr>
        <w:pStyle w:val="af1"/>
        <w:numPr>
          <w:ilvl w:val="0"/>
          <w:numId w:val="27"/>
        </w:numPr>
        <w:tabs>
          <w:tab w:val="left" w:pos="509"/>
          <w:tab w:val="left" w:pos="1134"/>
        </w:tabs>
        <w:autoSpaceDE w:val="0"/>
        <w:autoSpaceDN w:val="0"/>
        <w:adjustRightInd w:val="0"/>
        <w:spacing w:before="5"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1804C1" w:rsidRPr="00170B1D" w:rsidRDefault="001804C1" w:rsidP="00170B1D">
      <w:pPr>
        <w:pStyle w:val="af1"/>
        <w:numPr>
          <w:ilvl w:val="0"/>
          <w:numId w:val="27"/>
        </w:numPr>
        <w:tabs>
          <w:tab w:val="left" w:pos="509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проверка рефератов, эссе;</w:t>
      </w:r>
    </w:p>
    <w:p w:rsidR="001804C1" w:rsidRPr="00170B1D" w:rsidRDefault="001804C1" w:rsidP="00170B1D">
      <w:pPr>
        <w:pStyle w:val="af1"/>
        <w:numPr>
          <w:ilvl w:val="0"/>
          <w:numId w:val="27"/>
        </w:numPr>
        <w:tabs>
          <w:tab w:val="left" w:pos="509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защита лабораторных и практических работ;</w:t>
      </w:r>
    </w:p>
    <w:p w:rsidR="001804C1" w:rsidRPr="00170B1D" w:rsidRDefault="001804C1" w:rsidP="00170B1D">
      <w:pPr>
        <w:pStyle w:val="af1"/>
        <w:numPr>
          <w:ilvl w:val="0"/>
          <w:numId w:val="27"/>
        </w:numPr>
        <w:tabs>
          <w:tab w:val="left" w:pos="509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B1D">
        <w:rPr>
          <w:rFonts w:ascii="Times New Roman" w:eastAsia="Times New Roman" w:hAnsi="Times New Roman"/>
          <w:sz w:val="28"/>
          <w:szCs w:val="28"/>
          <w:lang w:eastAsia="ru-RU"/>
        </w:rPr>
        <w:t>тестирование и др.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1804C1" w:rsidRPr="001804C1" w:rsidRDefault="001804C1" w:rsidP="001804C1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</w:t>
      </w:r>
      <w:r w:rsidR="0017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 следующей    шкале: 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   (отлично),   4   (хорошо),   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(дифференцированного зачёта или экзамена). Положительная итоговая оценка является допуском к прохождению итогового контроля учебных достижений студентов, осваивающих обра</w:t>
      </w:r>
      <w:r w:rsidR="0017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зовательную программу среднего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в рамках основных профессиональных образовательных программ среднего профессионального образования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1804C1" w:rsidRPr="001804C1" w:rsidRDefault="001804C1" w:rsidP="001804C1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1804C1" w:rsidRPr="001804C1" w:rsidRDefault="001804C1" w:rsidP="00170B1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1804C1" w:rsidRPr="001804C1" w:rsidRDefault="001804C1" w:rsidP="00170B1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1804C1" w:rsidRPr="001804C1" w:rsidRDefault="001804C1" w:rsidP="00170B1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1804C1" w:rsidRPr="001804C1" w:rsidRDefault="001804C1" w:rsidP="00170B1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дифференцированный зачет по учебной дисциплине, междисциплинарному курсу, практике;</w:t>
      </w:r>
    </w:p>
    <w:p w:rsidR="001804C1" w:rsidRPr="001804C1" w:rsidRDefault="001804C1" w:rsidP="009C14BA">
      <w:pPr>
        <w:autoSpaceDE w:val="0"/>
        <w:autoSpaceDN w:val="0"/>
        <w:adjustRightInd w:val="0"/>
        <w:spacing w:before="43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1804C1" w:rsidRPr="001804C1" w:rsidRDefault="001804C1" w:rsidP="001804C1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межпредметных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1804C1" w:rsidRPr="001804C1" w:rsidRDefault="001804C1" w:rsidP="001804C1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1804C1" w:rsidRPr="001804C1" w:rsidRDefault="001804C1" w:rsidP="009C14BA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1804C1" w:rsidRPr="001804C1" w:rsidRDefault="001804C1" w:rsidP="009C14BA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1804C1" w:rsidRPr="001804C1" w:rsidRDefault="001804C1" w:rsidP="009C14BA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1804C1" w:rsidRPr="001804C1" w:rsidRDefault="001804C1" w:rsidP="009C14BA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1804C1" w:rsidRPr="001804C1" w:rsidRDefault="001804C1" w:rsidP="009C14BA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5.2. Организация государственной итоговой 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9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1804C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36.02.01 Ветеринария 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1804C1" w:rsidRPr="001804C1" w:rsidRDefault="009C14BA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4C1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времени на подготовку и проведение </w:t>
      </w:r>
      <w:r w:rsidR="001804C1"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="001804C1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  <w:r w:rsidR="00150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(дипломного проекта) и\ или демонстрационный экзамен.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Выпускная квалификационная </w:t>
      </w:r>
      <w:r w:rsidR="00150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(дипломная) 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способствует систематизации и закреплению знаний выпускника по профессии или 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специальности при решении конкретных задач, а также выяснению уровня подготовки выпускника к самостоятельной работе.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ko-KR"/>
        </w:rPr>
        <w:t>Темы выпускных квалификационных</w:t>
      </w:r>
      <w:r w:rsidR="00150CD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(дипломных)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1804C1" w:rsidRPr="001804C1" w:rsidRDefault="001804C1" w:rsidP="009C14B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  <w:r w:rsidR="009C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1804C1" w:rsidRPr="001804C1" w:rsidRDefault="001804C1" w:rsidP="009C14BA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Итоговая оценка уровня и качества подготовки выпускников по специальности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36.02.01 Ветеринария </w:t>
      </w:r>
      <w:r w:rsidRPr="001804C1">
        <w:rPr>
          <w:rFonts w:ascii="Times New Roman" w:eastAsia="Calibri" w:hAnsi="Times New Roman" w:cs="Times New Roman"/>
          <w:sz w:val="28"/>
          <w:szCs w:val="28"/>
        </w:rPr>
        <w:t>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>Оценка «5» (отлично): тема дипломной работы актуальна и актуальность её в работе обоснована; сформулированы цель, задачи, предмет,  объект исследования, методы, используемые в работе;  содержание и структура исследования соответствует поставленным целям и задачам; изложение текста работы отличается логичностью, смысловой завершённостью и анализом представленного материала; комплексно использованы методы исследования; адекватные поставленным задачам; итоговые выводы обоснованы, чётко сформулированы, соответствуют задачам исследования; в работе отсутствуют орфографические и пунктуационные ошибки; дипломная работа оформлена в соответствии с предъявленными требованиями; отзыв руководителя и внешняя рецензия на работу – положительные; публичная защита дипломной работы показала уверенное владение материалом, умение чётко, аргументировано и корректно отвечать на поставленные вопросы, отстаивать собственную точку зрения; при защите использован наглядный материал (презентация, таблицы, схемы и др.)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Оценка «4» (хорошо): тема работы актуальна, имеет теоретическое обоснование; содержание работы в целом соответствует  поставленной цели и задачам; изложение материала носит преимущественно описательный характер;  структура работы логична;  использованы методы, адекватные поставленным задачам; имеются итоговые выводы, соответствующие поставленным задачам исследования; основные требования к оформлению работы в целом соблюдены, но имеются небольшие недочёты;  отзыв </w:t>
      </w:r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руководителя и внешняя рецензия на работу– положительные, содержат небольшие замечания; публичная защита дипломной работы показала достаточно уверенное владение материалом, однако допущены неточности при ответах на вопросы;  ответы на вопросы недостаточно аргументированы; при защите использован наглядный материал.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Оценка «3» (удовлетворительно): тема работы актуальна, но актуальность её, цели и задачи работы сформулированы нечётко; содержание не всегда согласовано с темой и (или) поставленными задачами;  изложение материала носит описательный характер, большие отрывки (более двух абзацев) переписаны из источников;  самостоятельные выводы либо отсутствуют,  либо присутствуют только формально;  нарушен ряд требований к оформлению работы; в положительных отзывах и рецензии содержатся замечания; в ходе публичной защиты работы проявилось неуверенное владение материалом, неумение отстаивать свою точку зрения и отвечать на вопросы; автор затрудняется в ответах на вопросы членов ГЭК. 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Оценка «2» (неудовлетворительно): актуальность исследования автором не обоснована,  цель и задачи сформулированы неточно и неполно, либо их формулировки отсутствуют; содержание  и тема работы плохо согласуются (не согласуются)  между собой; работа носит преимущественно реферативный характер;  большая часть работы списана с одного источника либо заимствована из сети Интернет; выводы не соответствуют поставленным задачам (при их наличии);  нарушены правила оформления работы; отзыв и рецензия содержат много замечаний; в ходе публичной защиты работы проявилось неуверенное владение материалом, неумение формулировать собственную позицию; при выступлении допущены существенные ошибки, которые выпускник не может исправить самостоятельно.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1804C1" w:rsidRPr="001804C1" w:rsidRDefault="001804C1" w:rsidP="001804C1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20" w:name="_Toc310435925"/>
      <w:r w:rsidRPr="001804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Выпускная квалификационная </w:t>
      </w:r>
      <w:r w:rsidR="00150C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(дипломная) </w:t>
      </w:r>
      <w:r w:rsidRPr="001804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работа выполняется в виде </w:t>
      </w:r>
      <w:r w:rsidRPr="001804C1">
        <w:rPr>
          <w:rFonts w:ascii="Times New Roman" w:hAnsi="Times New Roman" w:cs="Times New Roman"/>
          <w:sz w:val="28"/>
          <w:szCs w:val="28"/>
        </w:rPr>
        <w:t>дипломной работы.</w:t>
      </w:r>
    </w:p>
    <w:p w:rsidR="001804C1" w:rsidRPr="001804C1" w:rsidRDefault="001804C1" w:rsidP="00180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1804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1804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Структура дипломной работы: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основная часть (теоретическая и практическая главы)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заключение (выводы и предложения)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приложения (чертежи). </w:t>
      </w:r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Во введении следует раскрыть теоретическое и практическое значение избранной темы ВКР, обосновать ее актуальность, определить цель и задачи, объект и предмет, методы дипломного исследования, указать теоретическую основу ВКР, ее практическую базу.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76B">
        <w:rPr>
          <w:rFonts w:ascii="Times New Roman" w:hAnsi="Times New Roman" w:cs="Times New Roman"/>
          <w:sz w:val="28"/>
          <w:szCs w:val="28"/>
        </w:rPr>
        <w:t xml:space="preserve">Основная часть состоит из глав (как правило, двух: первая глава – </w:t>
      </w:r>
      <w:r w:rsidRPr="00FF376B">
        <w:rPr>
          <w:rFonts w:ascii="Times New Roman" w:hAnsi="Times New Roman" w:cs="Times New Roman"/>
          <w:sz w:val="28"/>
          <w:szCs w:val="28"/>
        </w:rPr>
        <w:lastRenderedPageBreak/>
        <w:t>теоретическая, вторая глава – практическая), разделов, подразделов, пунктов и подпунктов по каждой главе (при необходимости) в соответствии с логической структурой изложения.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Первая глава – теоретическая (обзор литературы). Ее содержание целиком зависит от выбранной темы, и будет включать те вопросы и проблемы, которые имеют к ней самое непосредственное отношение.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главе кратко рассматривается история вопроса и степень его изученности, анализируется современное состояние исследуемой проблемы, отражается законодательная, нормативно-правовая база проблемы как совокупность правовых документов. Содержание главы должно соответствовать теме исследования. Число цитируемых литературных источников (отечественных и зарубежных) должно быть достаточным для полного освещения вопроса. При описании литературных данных могут быть использованы рисунки и таблицы со ссылкой на источник. При поиске источников литературы по теме необходимо использовать все виды изданий.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Поиск осуществлять через каталоги, картотеки и библиографические указатели библиотек, а также поисковые системы «Интернет».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Вторая глава – практическая. В данной главе должна быть представлена информация о предназначении, специфике решаемых задач предприятием. Дается характеристика объекта исследования, на материалах которого выполняется работа, и проводится глубокий анализ изучаемой проблемы с использованием различных методов исследования. Приводятся результаты исследований и наблюдений, выполненных непосредственно исполнителем. Статистически обработанные данные могут быть представлены в виде таблиц и рисунков (диаграмм, графиков, схем, фотографий и т.д.).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данном разделе результаты собственных исследований анализируются и комментируются. На основании анализа выявляются закономерности. Приводится сопоставление полученных результатов с данными других исследователей, изученных по литературным источникам, а также на основании собственных взглядов и литературных источников объясняются выявленные закономерности. Природно-экономическая характеристика предприятия, организации. В разделе раскрываются те природно-климатические и организационно - экономические факторы, которые влияют на результаты рассматриваемого вопроса: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а) наименование предприятия, место его расположения, природно-климатические условия, производственная структура, экономическое состояние;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б) основные экономические показатели деятельности предприятия, направление деятельности (ветеринарная клиника, ветеринарный лечебно-профилактический центр и т.д., перечень оказываемых услуг, свиноводческое хозяйство, МТФ, племенной завод, виды, породы животных, способ и условия содержания, продуктивность животных, кормовая база, эпизоотическое состояние и т.п.);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lastRenderedPageBreak/>
        <w:t>в) кадры ветеринарных специалистов, оплата труда, внедрение передового опыта и научных достижений в их работу;</w:t>
      </w:r>
    </w:p>
    <w:p w:rsidR="001804C1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указанном разделе целесообразно подвести итог проведенного исследования, включая теоретическую и практическую части, а также отразить перспективы проведения дальнейших исследований.</w:t>
      </w:r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Работа над практической частью  должна позволить руководителю оценить уровень развития следующих общих компетенций: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ответственность;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спользовать информационно-коммуникационные технологии в  профессиональной деятельности</w:t>
      </w:r>
      <w:r w:rsidRPr="001804C1">
        <w:rPr>
          <w:rFonts w:ascii="Times New Roman" w:hAnsi="Times New Roman" w:cs="Times New Roman"/>
          <w:sz w:val="28"/>
          <w:szCs w:val="28"/>
        </w:rPr>
        <w:t>;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76B">
        <w:rPr>
          <w:rFonts w:ascii="Times New Roman" w:hAnsi="Times New Roman" w:cs="Times New Roman"/>
          <w:sz w:val="28"/>
          <w:szCs w:val="28"/>
        </w:rPr>
        <w:t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1804C1" w:rsidRPr="00E947B4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должен включать не менее 20 источников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804C1" w:rsidRDefault="001804C1" w:rsidP="001804C1"/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4BA" w:rsidRDefault="009C14BA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4BA" w:rsidRDefault="009C14BA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64C" w:rsidRDefault="00B6764C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64C" w:rsidRDefault="00B6764C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64C" w:rsidRPr="001804C1" w:rsidRDefault="00B6764C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21" w:name="_Toc310435926"/>
      <w:bookmarkEnd w:id="20"/>
      <w:r w:rsidRPr="001804C1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ОПОП ППССЗ</w:t>
      </w:r>
    </w:p>
    <w:bookmarkEnd w:id="21"/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Реализация ОПОП обеспечивается педагогическими кадрами колледжа, имеющими высшее образование, соответствующее про-филю преподаваемой дисциплины или ПМ.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4C1">
        <w:rPr>
          <w:rFonts w:ascii="Times New Roman" w:hAnsi="Times New Roman" w:cs="Times New Roman"/>
          <w:color w:val="000000"/>
          <w:sz w:val="28"/>
          <w:szCs w:val="28"/>
        </w:rPr>
        <w:t xml:space="preserve">Учебная практика проводится преподавателями дисциплин профессионального цикла. 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Организацию и руководство практикой по профилю специальности и преддипломной практикой осуществляют руководители практики от образовательной организации и от организации – представители работодателей.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4C1">
        <w:rPr>
          <w:rFonts w:ascii="Times New Roman" w:hAnsi="Times New Roman" w:cs="Times New Roman"/>
          <w:color w:val="000000"/>
          <w:sz w:val="28"/>
          <w:szCs w:val="28"/>
        </w:rPr>
        <w:t xml:space="preserve">Главным направлением деятельности педагогического коллектива является разработка и оформление документации в соответствии с федеральными государственными образовательными стандартами (рабочие программы дисциплин, ПМ, практик; комплекты и фонды оценочных средств; методические указания для внеаудиторной самостоятельной работы; методические указания по выполнению курсовых работ в соответствии с ФГОС; и т.д.).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4C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ОПОП по специальности 36.02.01 Ветеринария обеспечивается доступом каждого студента к базам данных и библиотечным фондам, формируемым по полному перечню дисциплин модулей ОПОП. Во время самостоятельной подготовки обучающиеся обеспечены доступом в сеть Интернет. </w:t>
      </w:r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Каждый обучающийся обеспечен не менее чем одним учебным печатным и/или электронным изданием по каждой дисциплине и междисциплинарному курсу (включая электронные базы периодических изданий).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Реализация ОПОП СПО по специальности 36.02.01 Ветеринария должна осуществляться в следующих кабинетах и лабораториях: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685"/>
      </w:tblGrid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1804C1" w:rsidRPr="001804C1" w:rsidTr="001804C1">
        <w:trPr>
          <w:trHeight w:val="342"/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1804C1" w:rsidRPr="001804C1" w:rsidTr="001804C1">
        <w:trPr>
          <w:trHeight w:val="342"/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 xml:space="preserve">Информационных технологий в профессиональной деятельности 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Организации ветеринарного дела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Животноводства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Экологических основ природопользования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Безопасности жизнедеятельности и охраны труда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Анатомии и физиологии животных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фармакологии и латинского языка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Кормления животных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Зоогигиены и ветеринарной санитарии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Патологической физиологии и патологической анатомии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Внутренних незаразных болезней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Эпизоотологии с микробиологией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Паразитологии и инвазионных болезней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хирургии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Акушерства, гинекологии и биотехники размножения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Ветеринарно-санитарной экспертизы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Полигоны: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Ветеринарная клиника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Открытый стадион широкого профиля с элементами полосы препятствий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Библиотека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Читальный зал с выходом в Интернет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1804C1" w:rsidRPr="001804C1" w:rsidRDefault="001804C1" w:rsidP="001804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постоянные и/или сменные стенды,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преподавателей и студентов;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библиотека кабинета и др. </w:t>
      </w: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Характеристика среды колледжа, обеспечивающей развитие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Основные направления воспитательной работы: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1804C1" w:rsidRPr="001804C1" w:rsidRDefault="001804C1" w:rsidP="001804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торжественная линейка;</w:t>
      </w:r>
    </w:p>
    <w:p w:rsidR="001804C1" w:rsidRPr="001804C1" w:rsidRDefault="001804C1" w:rsidP="001804C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Посвящение в студенты.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Выпускной вечер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самоутверждаться в избранной  профессии, совершенствоваться, проявить себя как личность.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Гжатских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</w:t>
      </w: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студентами ежегодно принимают активное участие в  Спартакиадах среди  инвалидов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Элементом общей системы учебно-воспитательного процесса является студенческое самоуправление,  позволяющим студентам участвовать в организации своей жизнедеятельности в колледже. В  структуру студенческого самоуправления входят Студенческий Совет, Совет старост учебных групп.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При непосредственном участии студентов ведутся мероприятия профориентационнной направленности. Студенты совместно с преподавателями участвуют в «Ярмарках профессий», проводят Дни открытых дверей.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Одним из приоритетных направлений деятельности является реализация концепции здоровье сберегающего пространства.  Работа в рамках этой концепции носит системный характер и включает в себя такие важные компоненты,   как:</w:t>
      </w:r>
    </w:p>
    <w:p w:rsidR="001804C1" w:rsidRPr="001804C1" w:rsidRDefault="001804C1" w:rsidP="006173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1804C1" w:rsidRPr="001804C1" w:rsidRDefault="001804C1" w:rsidP="006173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1804C1" w:rsidRPr="001804C1" w:rsidRDefault="001804C1" w:rsidP="006173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баскетбол).</w:t>
      </w: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1804C1" w:rsidRPr="001804C1">
          <w:pgSz w:w="11906" w:h="16838"/>
          <w:pgMar w:top="1134" w:right="850" w:bottom="1134" w:left="1701" w:header="708" w:footer="708" w:gutter="0"/>
          <w:cols w:space="720"/>
        </w:sectPr>
      </w:pPr>
    </w:p>
    <w:p w:rsidR="001804C1" w:rsidRPr="001804C1" w:rsidRDefault="001804C1" w:rsidP="00180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Нормативно-методические документы, обеспечивающие  качество подготовки  обучающихся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6"/>
      </w:tblGrid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N w:val="0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</w:pPr>
            <w:r w:rsidRPr="001804C1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Положение </w:t>
            </w:r>
            <w:r w:rsidRPr="001804C1">
              <w:rPr>
                <w:rFonts w:ascii="Times New Roman" w:hAnsi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1804C1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1804C1">
              <w:rPr>
                <w:rFonts w:ascii="Times New Roman" w:hAnsi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1804C1">
              <w:rPr>
                <w:rFonts w:ascii="Times New Roman" w:hAnsi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1804C1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1804C1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1804C1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1804C1">
              <w:rPr>
                <w:rFonts w:ascii="Times New Roman" w:hAnsi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1804C1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1804C1">
              <w:rPr>
                <w:rFonts w:ascii="Times New Roman" w:hAnsi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1804C1">
              <w:rPr>
                <w:rFonts w:ascii="Times New Roman" w:hAnsi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1804C1" w:rsidRPr="001804C1" w:rsidTr="001804C1">
        <w:trPr>
          <w:trHeight w:val="597"/>
        </w:trPr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1804C1" w:rsidRPr="001804C1" w:rsidTr="001804C1">
        <w:trPr>
          <w:trHeight w:val="625"/>
        </w:trPr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804C1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1804C1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1804C1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1804C1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804C1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804C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расписании учебных занятий, экзаменационно-зачётных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перезачёта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1804C1" w:rsidRPr="001804C1" w:rsidRDefault="001804C1" w:rsidP="001804C1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1804C1" w:rsidRPr="001804C1" w:rsidRDefault="001804C1" w:rsidP="001804C1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t xml:space="preserve">СОГБПОУ </w:t>
            </w:r>
            <w:r w:rsidRPr="001804C1">
              <w:rPr>
                <w:rFonts w:ascii="Times New Roman" w:hAnsi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1804C1"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r w:rsidRPr="001804C1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оложение о комиссии по урегулированию споров между участниками образовательных отношений </w:t>
            </w:r>
            <w:r w:rsidRPr="001804C1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1804C1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1804C1" w:rsidRPr="001804C1" w:rsidRDefault="001804C1" w:rsidP="001804C1">
      <w:pPr>
        <w:spacing w:after="0"/>
        <w:rPr>
          <w:rFonts w:ascii="Calibri" w:eastAsia="Calibri" w:hAnsi="Calibri" w:cs="Times New Roman"/>
        </w:rPr>
        <w:sectPr w:rsidR="001804C1" w:rsidRPr="001804C1">
          <w:pgSz w:w="11906" w:h="16838"/>
          <w:pgMar w:top="1134" w:right="850" w:bottom="1134" w:left="1701" w:header="708" w:footer="708" w:gutter="0"/>
          <w:cols w:space="720"/>
        </w:sectPr>
      </w:pPr>
    </w:p>
    <w:p w:rsidR="00B93380" w:rsidRDefault="00B93380" w:rsidP="009C14BA">
      <w:pPr>
        <w:spacing w:after="0" w:line="240" w:lineRule="auto"/>
      </w:pPr>
    </w:p>
    <w:sectPr w:rsidR="00B93380" w:rsidSect="001804C1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1BB" w:rsidRDefault="00E041BB">
      <w:pPr>
        <w:spacing w:after="0" w:line="240" w:lineRule="auto"/>
      </w:pPr>
      <w:r>
        <w:separator/>
      </w:r>
    </w:p>
  </w:endnote>
  <w:endnote w:type="continuationSeparator" w:id="0">
    <w:p w:rsidR="00E041BB" w:rsidRDefault="00E0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ndale Sans UI">
    <w:altName w:val="Arial Unicode MS"/>
    <w:charset w:val="CC"/>
    <w:family w:val="auto"/>
    <w:pitch w:val="variable"/>
  </w:font>
  <w:font w:name="CIDFont+F1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842782"/>
      <w:docPartObj>
        <w:docPartGallery w:val="Page Numbers (Bottom of Page)"/>
        <w:docPartUnique/>
      </w:docPartObj>
    </w:sdtPr>
    <w:sdtEndPr/>
    <w:sdtContent>
      <w:p w:rsidR="003B2114" w:rsidRDefault="003B211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407">
          <w:rPr>
            <w:noProof/>
          </w:rPr>
          <w:t>1</w:t>
        </w:r>
        <w:r>
          <w:fldChar w:fldCharType="end"/>
        </w:r>
      </w:p>
    </w:sdtContent>
  </w:sdt>
  <w:p w:rsidR="003B2114" w:rsidRDefault="003B21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1BB" w:rsidRDefault="00E041BB">
      <w:pPr>
        <w:spacing w:after="0" w:line="240" w:lineRule="auto"/>
      </w:pPr>
      <w:r>
        <w:separator/>
      </w:r>
    </w:p>
  </w:footnote>
  <w:footnote w:type="continuationSeparator" w:id="0">
    <w:p w:rsidR="00E041BB" w:rsidRDefault="00E0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6F2E4A"/>
    <w:multiLevelType w:val="hybridMultilevel"/>
    <w:tmpl w:val="10946F5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44DEF"/>
    <w:multiLevelType w:val="hybridMultilevel"/>
    <w:tmpl w:val="37B8E7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640C4"/>
    <w:multiLevelType w:val="hybridMultilevel"/>
    <w:tmpl w:val="A7C0DA16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AF4BB2"/>
    <w:multiLevelType w:val="hybridMultilevel"/>
    <w:tmpl w:val="4E0A2E10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4" w15:restartNumberingAfterBreak="0">
    <w:nsid w:val="35577BD0"/>
    <w:multiLevelType w:val="hybridMultilevel"/>
    <w:tmpl w:val="52223194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5273"/>
    <w:multiLevelType w:val="hybridMultilevel"/>
    <w:tmpl w:val="9024604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C3427"/>
    <w:multiLevelType w:val="hybridMultilevel"/>
    <w:tmpl w:val="EC5049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294747"/>
    <w:multiLevelType w:val="hybridMultilevel"/>
    <w:tmpl w:val="4050D0C2"/>
    <w:lvl w:ilvl="0" w:tplc="15A6FB7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21753"/>
    <w:multiLevelType w:val="hybridMultilevel"/>
    <w:tmpl w:val="F9A03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601FA7"/>
    <w:multiLevelType w:val="hybridMultilevel"/>
    <w:tmpl w:val="189213E0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4"/>
  </w:num>
  <w:num w:numId="4">
    <w:abstractNumId w:val="21"/>
  </w:num>
  <w:num w:numId="5">
    <w:abstractNumId w:val="9"/>
  </w:num>
  <w:num w:numId="6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4"/>
  </w:num>
  <w:num w:numId="10">
    <w:abstractNumId w:val="26"/>
  </w:num>
  <w:num w:numId="11">
    <w:abstractNumId w:val="3"/>
  </w:num>
  <w:num w:numId="12">
    <w:abstractNumId w:val="7"/>
  </w:num>
  <w:num w:numId="1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13"/>
  </w:num>
  <w:num w:numId="18">
    <w:abstractNumId w:val="11"/>
  </w:num>
  <w:num w:numId="19">
    <w:abstractNumId w:val="22"/>
  </w:num>
  <w:num w:numId="20">
    <w:abstractNumId w:val="14"/>
  </w:num>
  <w:num w:numId="21">
    <w:abstractNumId w:val="20"/>
  </w:num>
  <w:num w:numId="22">
    <w:abstractNumId w:val="16"/>
  </w:num>
  <w:num w:numId="23">
    <w:abstractNumId w:val="5"/>
  </w:num>
  <w:num w:numId="24">
    <w:abstractNumId w:val="15"/>
  </w:num>
  <w:num w:numId="25">
    <w:abstractNumId w:val="18"/>
  </w:num>
  <w:num w:numId="26">
    <w:abstractNumId w:val="17"/>
  </w:num>
  <w:num w:numId="2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C1"/>
    <w:rsid w:val="00075A3E"/>
    <w:rsid w:val="00150CD8"/>
    <w:rsid w:val="00170B1D"/>
    <w:rsid w:val="001804C1"/>
    <w:rsid w:val="00257F25"/>
    <w:rsid w:val="00282C64"/>
    <w:rsid w:val="002A18A5"/>
    <w:rsid w:val="002B1F28"/>
    <w:rsid w:val="00330063"/>
    <w:rsid w:val="0035171A"/>
    <w:rsid w:val="003B2114"/>
    <w:rsid w:val="003D020B"/>
    <w:rsid w:val="00403407"/>
    <w:rsid w:val="004364B7"/>
    <w:rsid w:val="004F049B"/>
    <w:rsid w:val="0061733D"/>
    <w:rsid w:val="006440D4"/>
    <w:rsid w:val="00863064"/>
    <w:rsid w:val="009B204F"/>
    <w:rsid w:val="009C14BA"/>
    <w:rsid w:val="00B37399"/>
    <w:rsid w:val="00B6764C"/>
    <w:rsid w:val="00B93380"/>
    <w:rsid w:val="00C932B9"/>
    <w:rsid w:val="00E041BB"/>
    <w:rsid w:val="00F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F323"/>
  <w15:docId w15:val="{EB8C835A-3010-4320-99F5-C5A4541F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0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9B204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B20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9B204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804C1"/>
  </w:style>
  <w:style w:type="character" w:styleId="a3">
    <w:name w:val="Hyperlink"/>
    <w:basedOn w:val="a0"/>
    <w:uiPriority w:val="99"/>
    <w:unhideWhenUsed/>
    <w:rsid w:val="001804C1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1804C1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80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804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0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1804C1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1804C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804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1804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1804C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804C1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804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80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804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4C1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1804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1804C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Основной текст (22)_"/>
    <w:link w:val="221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1804C1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804C1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3">
    <w:name w:val="Заголовок №2_"/>
    <w:link w:val="24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24">
    <w:name w:val="Заголовок №2"/>
    <w:basedOn w:val="a"/>
    <w:link w:val="23"/>
    <w:rsid w:val="001804C1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1804C1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1804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80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1804C1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804C1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804C1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804C1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804C1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"/>
    <w:rsid w:val="001804C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Placeholder Text"/>
    <w:basedOn w:val="a0"/>
    <w:uiPriority w:val="99"/>
    <w:semiHidden/>
    <w:rsid w:val="001804C1"/>
    <w:rPr>
      <w:color w:val="808080"/>
    </w:rPr>
  </w:style>
  <w:style w:type="character" w:customStyle="1" w:styleId="121">
    <w:name w:val="Основной текст (12) + Полужирный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5">
    <w:name w:val="Заголовок №2 + Полужирный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0"/>
    <w:rsid w:val="001804C1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1804C1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0"/>
    <w:rsid w:val="001804C1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1804C1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1804C1"/>
  </w:style>
  <w:style w:type="character" w:customStyle="1" w:styleId="FontStyle18">
    <w:name w:val="Font Style18"/>
    <w:rsid w:val="001804C1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rsid w:val="001804C1"/>
    <w:rPr>
      <w:rFonts w:ascii="Times New Roman" w:hAnsi="Times New Roman" w:cs="Times New Roman" w:hint="default"/>
      <w:b/>
      <w:bCs/>
      <w:sz w:val="16"/>
      <w:szCs w:val="16"/>
    </w:rPr>
  </w:style>
  <w:style w:type="table" w:styleId="af4">
    <w:name w:val="Table Grid"/>
    <w:basedOn w:val="a1"/>
    <w:uiPriority w:val="3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1804C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1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04F"/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B204F"/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B204F"/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9B204F"/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numbering" w:customStyle="1" w:styleId="27">
    <w:name w:val="Нет списка2"/>
    <w:next w:val="a2"/>
    <w:uiPriority w:val="99"/>
    <w:semiHidden/>
    <w:unhideWhenUsed/>
    <w:rsid w:val="009B204F"/>
  </w:style>
  <w:style w:type="paragraph" w:customStyle="1" w:styleId="af6">
    <w:name w:val="Знак Знак Знак Знак"/>
    <w:basedOn w:val="a"/>
    <w:uiPriority w:val="99"/>
    <w:rsid w:val="009B20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B20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2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uiPriority w:val="99"/>
    <w:rsid w:val="009B204F"/>
    <w:rPr>
      <w:rFonts w:cs="Times New Roman"/>
    </w:rPr>
  </w:style>
  <w:style w:type="paragraph" w:styleId="af8">
    <w:name w:val="footnote text"/>
    <w:basedOn w:val="a"/>
    <w:link w:val="af9"/>
    <w:uiPriority w:val="99"/>
    <w:semiHidden/>
    <w:rsid w:val="009B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9B2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sid w:val="009B204F"/>
    <w:rPr>
      <w:rFonts w:cs="Times New Roman"/>
      <w:vertAlign w:val="superscript"/>
    </w:rPr>
  </w:style>
  <w:style w:type="paragraph" w:styleId="28">
    <w:name w:val="List 2"/>
    <w:basedOn w:val="a"/>
    <w:uiPriority w:val="99"/>
    <w:rsid w:val="009B20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uiPriority w:val="99"/>
    <w:rsid w:val="009B204F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9B204F"/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paragraph" w:customStyle="1" w:styleId="2b">
    <w:name w:val="Знак2"/>
    <w:basedOn w:val="a"/>
    <w:uiPriority w:val="99"/>
    <w:rsid w:val="009B204F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"/>
    <w:basedOn w:val="a"/>
    <w:uiPriority w:val="99"/>
    <w:rsid w:val="009B204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c">
    <w:name w:val="Title"/>
    <w:basedOn w:val="a"/>
    <w:link w:val="afd"/>
    <w:uiPriority w:val="99"/>
    <w:qFormat/>
    <w:rsid w:val="009B204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Заголовок Знак"/>
    <w:basedOn w:val="a0"/>
    <w:link w:val="afc"/>
    <w:uiPriority w:val="99"/>
    <w:rsid w:val="009B2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9B204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9B20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2">
    <w:name w:val="Знак Знак3"/>
    <w:uiPriority w:val="99"/>
    <w:locked/>
    <w:rsid w:val="009B204F"/>
    <w:rPr>
      <w:rFonts w:ascii="Courier New" w:hAnsi="Courier New" w:cs="Courier New"/>
      <w:lang w:val="ru-RU" w:eastAsia="ru-RU"/>
    </w:rPr>
  </w:style>
  <w:style w:type="table" w:customStyle="1" w:styleId="7">
    <w:name w:val="Сетка таблицы7"/>
    <w:basedOn w:val="a1"/>
    <w:next w:val="af4"/>
    <w:uiPriority w:val="99"/>
    <w:rsid w:val="009B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4"/>
    <w:uiPriority w:val="59"/>
    <w:rsid w:val="009B20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4BA8539064D5F9504001536611F0831C539AEA2ECD983D08425AF3F26882AEC9D185749D1460D0a7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10339</Words>
  <Characters>58933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Пользователь</cp:lastModifiedBy>
  <cp:revision>13</cp:revision>
  <cp:lastPrinted>2024-05-13T06:46:00Z</cp:lastPrinted>
  <dcterms:created xsi:type="dcterms:W3CDTF">2019-07-09T18:47:00Z</dcterms:created>
  <dcterms:modified xsi:type="dcterms:W3CDTF">2024-05-13T07:21:00Z</dcterms:modified>
</cp:coreProperties>
</file>