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3E" w:rsidRPr="003D7AB9" w:rsidRDefault="00B3103E" w:rsidP="003D7AB9">
      <w:pPr>
        <w:shd w:val="clear" w:color="auto" w:fill="FFFFFF"/>
        <w:spacing w:after="0" w:line="240" w:lineRule="auto"/>
        <w:jc w:val="center"/>
        <w:outlineLvl w:val="0"/>
        <w:rPr>
          <w:rFonts w:ascii="Oxygen" w:eastAsia="Times New Roman" w:hAnsi="Oxygen" w:cs="Arial"/>
          <w:b/>
          <w:bCs/>
          <w:color w:val="124CD8"/>
          <w:kern w:val="36"/>
          <w:sz w:val="42"/>
          <w:szCs w:val="42"/>
          <w:lang w:eastAsia="ru-RU"/>
        </w:rPr>
      </w:pPr>
      <w:r w:rsidRPr="00B3103E">
        <w:rPr>
          <w:rFonts w:ascii="Oxygen" w:eastAsia="Times New Roman" w:hAnsi="Oxygen" w:cs="Arial"/>
          <w:b/>
          <w:bCs/>
          <w:color w:val="124CD8"/>
          <w:kern w:val="36"/>
          <w:sz w:val="42"/>
          <w:szCs w:val="42"/>
          <w:lang w:eastAsia="ru-RU"/>
        </w:rPr>
        <w:t>Система мониторинга качества дошкольного образования</w:t>
      </w:r>
    </w:p>
    <w:p w:rsidR="00B3103E" w:rsidRPr="00B3103E" w:rsidRDefault="00B3103E" w:rsidP="00B3103E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Цель мониторинга —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образования.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— совершенствование качества образовательных программ дошкольного образования, а также повышение качества содержания образовательной деятельности в ДОУ (социально-коммуникативное развитие, познавательное развитие, речевое развитие, художественно-эстетическое развитие, физическое развитие); повышение качества реализации адаптированных образовательных программ в ДОУ;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 xml:space="preserve">— повышение качества образовательных условий в ДОУ (кадровые условия, развивающая предметно-пространственная среда, </w:t>
      </w:r>
      <w:proofErr w:type="spellStart"/>
      <w:r w:rsidRPr="00B3103E">
        <w:rPr>
          <w:rFonts w:ascii="Arial" w:eastAsia="Times New Roman" w:hAnsi="Arial" w:cs="Arial"/>
          <w:sz w:val="24"/>
          <w:szCs w:val="24"/>
          <w:lang w:eastAsia="ru-RU"/>
        </w:rPr>
        <w:t>психолого</w:t>
      </w:r>
      <w:proofErr w:type="spellEnd"/>
      <w:r w:rsidRPr="00B3103E">
        <w:rPr>
          <w:rFonts w:ascii="Arial" w:eastAsia="Times New Roman" w:hAnsi="Arial" w:cs="Arial"/>
          <w:sz w:val="24"/>
          <w:szCs w:val="24"/>
          <w:lang w:eastAsia="ru-RU"/>
        </w:rPr>
        <w:t xml:space="preserve"> — педагогические условия);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— 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B3103E" w:rsidRPr="003D7AB9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— обеспечение здоровья, безопасности и качества услуг по присмотру и уходу; повышение качества управления в ДОУ</w:t>
      </w:r>
      <w:r w:rsidR="003D7AB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Методы сбора и обработки информации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 xml:space="preserve">В зависимости от используемых инструментов (методов) сбора полевой (первичной) информации исследования можно разделить </w:t>
      </w:r>
      <w:proofErr w:type="gramStart"/>
      <w:r w:rsidRPr="00B3103E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B3103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3103E" w:rsidRPr="00B3103E" w:rsidRDefault="00B3103E" w:rsidP="003D7A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количественные;</w:t>
      </w:r>
    </w:p>
    <w:p w:rsidR="00B3103E" w:rsidRPr="00B3103E" w:rsidRDefault="00B3103E" w:rsidP="003D7A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качественные.</w:t>
      </w:r>
    </w:p>
    <w:p w:rsidR="00B3103E" w:rsidRPr="003D7AB9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Используются социологические методы сбора информации: </w:t>
      </w:r>
      <w:r w:rsidRPr="00B310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тестирование; анкетирование, опрос, интервьюирование, наблюдение; беседа; метод педагогического эксперимента, метод </w:t>
      </w:r>
      <w:proofErr w:type="spellStart"/>
      <w:r w:rsidRPr="00B310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хронометрирования</w:t>
      </w:r>
      <w:proofErr w:type="spellEnd"/>
      <w:r w:rsidR="003D7AB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D7A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изучение</w:t>
      </w:r>
      <w:r w:rsidRPr="00B310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школьной документации,</w:t>
      </w:r>
      <w:r w:rsidRPr="00B3103E">
        <w:rPr>
          <w:rFonts w:ascii="Arial" w:eastAsia="Times New Roman" w:hAnsi="Arial" w:cs="Arial"/>
          <w:sz w:val="24"/>
          <w:szCs w:val="24"/>
          <w:lang w:eastAsia="ru-RU"/>
        </w:rPr>
        <w:t xml:space="preserve"> в которой отражается количественная и качественная характеристика учебно-воспитательного процесса. К учебно-педагогической документации школы относятся: алфавитная книга записи учащихся, личные дела учащихся, классные журналы, журналы факультативных занятий, журналы групп продленного дня, книги учета выдачи аттестатов об образова</w:t>
      </w:r>
      <w:r w:rsidR="003D7AB9">
        <w:rPr>
          <w:rFonts w:ascii="Arial" w:eastAsia="Times New Roman" w:hAnsi="Arial" w:cs="Arial"/>
          <w:sz w:val="24"/>
          <w:szCs w:val="24"/>
          <w:lang w:eastAsia="ru-RU"/>
        </w:rPr>
        <w:t>нии, книга учета выдачи медалей</w:t>
      </w:r>
      <w:r w:rsidRPr="00B3103E">
        <w:rPr>
          <w:rFonts w:ascii="Arial" w:eastAsia="Times New Roman" w:hAnsi="Arial" w:cs="Arial"/>
          <w:sz w:val="24"/>
          <w:szCs w:val="24"/>
          <w:lang w:eastAsia="ru-RU"/>
        </w:rPr>
        <w:t xml:space="preserve">, книга протоколов заседаний совета школы и педагогического </w:t>
      </w:r>
      <w:r w:rsidRPr="00B310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совета, книга приказов по школе, книга учета педагогических работников, журнал учета пропусков и замещения уроков и др.</w:t>
      </w:r>
    </w:p>
    <w:p w:rsidR="00B3103E" w:rsidRPr="00B3103E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Методы обработки информации</w:t>
      </w:r>
    </w:p>
    <w:p w:rsidR="00B3103E" w:rsidRPr="00B3103E" w:rsidRDefault="00B3103E" w:rsidP="003D7A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традиционный (классический) анализ документов — метод анализа сути материала с конкретной точки зрения,</w:t>
      </w:r>
    </w:p>
    <w:p w:rsidR="00B3103E" w:rsidRPr="00B3103E" w:rsidRDefault="00B3103E" w:rsidP="003D7A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103E">
        <w:rPr>
          <w:rFonts w:ascii="Arial" w:eastAsia="Times New Roman" w:hAnsi="Arial" w:cs="Arial"/>
          <w:sz w:val="24"/>
          <w:szCs w:val="24"/>
          <w:lang w:eastAsia="ru-RU"/>
        </w:rPr>
        <w:t>информативно-целевой анализ — метод анализа информативности материалов,</w:t>
      </w:r>
    </w:p>
    <w:p w:rsidR="00B3103E" w:rsidRPr="00B3103E" w:rsidRDefault="00B3103E" w:rsidP="003D7A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3103E">
        <w:rPr>
          <w:rFonts w:ascii="Arial" w:eastAsia="Times New Roman" w:hAnsi="Arial" w:cs="Arial"/>
          <w:sz w:val="24"/>
          <w:szCs w:val="24"/>
          <w:lang w:eastAsia="ru-RU"/>
        </w:rPr>
        <w:t>контент-анализ</w:t>
      </w:r>
      <w:proofErr w:type="spellEnd"/>
      <w:r w:rsidRPr="00B3103E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 — метод анализа определенных смысловых категорий в содержании материалов.</w:t>
      </w:r>
    </w:p>
    <w:p w:rsidR="00963D5D" w:rsidRPr="00963D5D" w:rsidRDefault="00B3103E" w:rsidP="00963D5D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63D5D">
        <w:rPr>
          <w:rFonts w:ascii="Arial" w:eastAsia="Times New Roman" w:hAnsi="Arial" w:cs="Arial"/>
          <w:sz w:val="24"/>
          <w:szCs w:val="24"/>
          <w:u w:val="single"/>
          <w:lang w:eastAsia="ru-RU"/>
        </w:rPr>
        <w:t> </w:t>
      </w:r>
      <w:r w:rsidR="00963D5D" w:rsidRPr="00963D5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Критерии и показатели муниципальной системы оценки качества </w:t>
      </w:r>
      <w:proofErr w:type="spellStart"/>
      <w:r w:rsidR="00963D5D" w:rsidRPr="00963D5D">
        <w:rPr>
          <w:rFonts w:ascii="Arial" w:hAnsi="Arial" w:cs="Arial"/>
          <w:b/>
          <w:color w:val="000000"/>
          <w:sz w:val="24"/>
          <w:szCs w:val="24"/>
          <w:u w:val="single"/>
        </w:rPr>
        <w:t>образования</w:t>
      </w:r>
      <w:r w:rsidR="00963D5D" w:rsidRPr="00963D5D">
        <w:rPr>
          <w:rFonts w:ascii="Arial" w:hAnsi="Arial" w:cs="Arial"/>
          <w:b/>
          <w:sz w:val="24"/>
          <w:szCs w:val="24"/>
          <w:u w:val="single"/>
        </w:rPr>
        <w:t>в</w:t>
      </w:r>
      <w:proofErr w:type="spellEnd"/>
      <w:r w:rsidR="00963D5D" w:rsidRPr="00963D5D">
        <w:rPr>
          <w:rFonts w:ascii="Arial" w:hAnsi="Arial" w:cs="Arial"/>
          <w:b/>
          <w:sz w:val="24"/>
          <w:szCs w:val="24"/>
          <w:u w:val="single"/>
        </w:rPr>
        <w:t xml:space="preserve"> дошкольных образовательных организациях МО </w:t>
      </w:r>
      <w:proofErr w:type="spellStart"/>
      <w:r w:rsidR="00963D5D" w:rsidRPr="00963D5D">
        <w:rPr>
          <w:rFonts w:ascii="Arial" w:hAnsi="Arial" w:cs="Arial"/>
          <w:b/>
          <w:sz w:val="24"/>
          <w:szCs w:val="24"/>
          <w:u w:val="single"/>
        </w:rPr>
        <w:t>Сонковский</w:t>
      </w:r>
      <w:proofErr w:type="spellEnd"/>
      <w:r w:rsidR="00963D5D" w:rsidRPr="00963D5D">
        <w:rPr>
          <w:rFonts w:ascii="Arial" w:hAnsi="Arial" w:cs="Arial"/>
          <w:b/>
          <w:sz w:val="24"/>
          <w:szCs w:val="24"/>
          <w:u w:val="single"/>
        </w:rPr>
        <w:t xml:space="preserve"> район Тверской области</w:t>
      </w:r>
    </w:p>
    <w:p w:rsidR="00963D5D" w:rsidRPr="00963D5D" w:rsidRDefault="00963D5D" w:rsidP="00963D5D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b/>
          <w:sz w:val="24"/>
          <w:szCs w:val="24"/>
        </w:rPr>
      </w:pPr>
      <w:r w:rsidRPr="00963D5D">
        <w:rPr>
          <w:rFonts w:ascii="Arial" w:hAnsi="Arial" w:cs="Arial"/>
          <w:b/>
          <w:sz w:val="24"/>
          <w:szCs w:val="24"/>
        </w:rPr>
        <w:t xml:space="preserve"> </w:t>
      </w:r>
    </w:p>
    <w:p w:rsidR="00963D5D" w:rsidRPr="00963D5D" w:rsidRDefault="00963D5D" w:rsidP="00963D5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63D5D">
        <w:rPr>
          <w:rFonts w:ascii="Arial" w:hAnsi="Arial" w:cs="Arial"/>
          <w:sz w:val="24"/>
          <w:szCs w:val="24"/>
          <w:lang w:eastAsia="ru-RU"/>
        </w:rPr>
        <w:tab/>
        <w:t xml:space="preserve">Критерии и показатели муниципальной системы оценки качества образования (далее МСОКО) разработаны с учетом показателей, утвержденных приказом Министерства образования и науки РФ </w:t>
      </w:r>
    </w:p>
    <w:p w:rsidR="00963D5D" w:rsidRPr="00963D5D" w:rsidRDefault="00963D5D" w:rsidP="00963D5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63D5D">
        <w:rPr>
          <w:rFonts w:ascii="Arial" w:hAnsi="Arial" w:cs="Arial"/>
          <w:sz w:val="24"/>
          <w:szCs w:val="24"/>
          <w:lang w:eastAsia="ru-RU"/>
        </w:rPr>
        <w:t xml:space="preserve">- от 10.12.2013г. № 1324 «Об утверждении показателей деятельности образовательной организации, подлежащей </w:t>
      </w:r>
      <w:proofErr w:type="spellStart"/>
      <w:r w:rsidRPr="00963D5D">
        <w:rPr>
          <w:rFonts w:ascii="Arial" w:hAnsi="Arial" w:cs="Arial"/>
          <w:sz w:val="24"/>
          <w:szCs w:val="24"/>
          <w:lang w:eastAsia="ru-RU"/>
        </w:rPr>
        <w:t>самообследованию</w:t>
      </w:r>
      <w:proofErr w:type="spellEnd"/>
      <w:r w:rsidRPr="00963D5D">
        <w:rPr>
          <w:rFonts w:ascii="Arial" w:hAnsi="Arial" w:cs="Arial"/>
          <w:sz w:val="24"/>
          <w:szCs w:val="24"/>
          <w:lang w:eastAsia="ru-RU"/>
        </w:rPr>
        <w:t>»,</w:t>
      </w:r>
    </w:p>
    <w:p w:rsidR="00963D5D" w:rsidRPr="00963D5D" w:rsidRDefault="00963D5D" w:rsidP="00963D5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963D5D">
        <w:rPr>
          <w:rFonts w:ascii="Arial" w:hAnsi="Arial" w:cs="Arial"/>
          <w:sz w:val="24"/>
          <w:szCs w:val="24"/>
          <w:lang w:eastAsia="ru-RU"/>
        </w:rPr>
        <w:t>- от 15.01.2014г. № 14 «Об утверждении показателей мониторинга системы образования».</w:t>
      </w:r>
    </w:p>
    <w:p w:rsidR="00963D5D" w:rsidRPr="00963D5D" w:rsidRDefault="00963D5D" w:rsidP="00963D5D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sz w:val="24"/>
          <w:szCs w:val="24"/>
        </w:rPr>
      </w:pPr>
    </w:p>
    <w:tbl>
      <w:tblPr>
        <w:tblW w:w="9624" w:type="dxa"/>
        <w:jc w:val="center"/>
        <w:tblInd w:w="-60" w:type="dxa"/>
        <w:tblCellMar>
          <w:left w:w="0" w:type="dxa"/>
          <w:right w:w="0" w:type="dxa"/>
        </w:tblCellMar>
        <w:tblLook w:val="0000"/>
      </w:tblPr>
      <w:tblGrid>
        <w:gridCol w:w="6269"/>
        <w:gridCol w:w="3355"/>
      </w:tblGrid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Показатель / критерии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</w:tr>
      <w:tr w:rsidR="00963D5D" w:rsidRPr="00963D5D" w:rsidTr="003002EE">
        <w:trPr>
          <w:jc w:val="center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3D5D">
              <w:rPr>
                <w:rFonts w:ascii="Arial" w:hAnsi="Arial" w:cs="Arial"/>
                <w:b/>
                <w:sz w:val="24"/>
                <w:szCs w:val="24"/>
              </w:rPr>
              <w:t xml:space="preserve">1. Сведения о развитии дошкольного образования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1.1. Уровень доступности дошкольного образования и численность населения, получающего дошкольное образование: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1.1.1. Доступность дошкольного образования (количество детей, посещающих ДОУ).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1.1.2. Охват детей дошкольными образовательными организациями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1.1.3 Количество детей в возрасте от 0 до 6 лет, ожидающих места в ДОУ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</w:t>
            </w:r>
            <w:r w:rsidRPr="00963D5D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lastRenderedPageBreak/>
              <w:t>1.2.1.Количество созданных консультационных пунктов при образовательных организациях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1.2.2.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1.3.1 Уровень обеспеченности персоналом учреждений дошкольного образования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1.3.2.Доля педагогов, имеющих средне специальное, в том числе педагогическое образование</w:t>
            </w: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63D5D" w:rsidRPr="00963D5D" w:rsidTr="003002EE">
        <w:trPr>
          <w:trHeight w:val="694"/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1.3.3Доля педагогов, имеющих высшее, в том числе педагогическое образование, в общей численности педагогов-воспитателей</w:t>
            </w: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63D5D" w:rsidRPr="00963D5D" w:rsidTr="003002EE">
        <w:trPr>
          <w:trHeight w:val="694"/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1.3.4 Доля педагогических кадров, прошедших аттестацию на высшую, первую </w:t>
            </w:r>
            <w:proofErr w:type="spellStart"/>
            <w:r w:rsidRPr="00963D5D">
              <w:rPr>
                <w:rFonts w:ascii="Arial" w:hAnsi="Arial" w:cs="Arial"/>
                <w:sz w:val="24"/>
                <w:szCs w:val="24"/>
              </w:rPr>
              <w:t>квалификационнные</w:t>
            </w:r>
            <w:proofErr w:type="spellEnd"/>
            <w:r w:rsidRPr="00963D5D">
              <w:rPr>
                <w:rFonts w:ascii="Arial" w:hAnsi="Arial" w:cs="Arial"/>
                <w:sz w:val="24"/>
                <w:szCs w:val="24"/>
              </w:rPr>
              <w:t xml:space="preserve"> категории или подтверждение на соответствие занимаемой должности, в общей численности  педагогических работников дошкольных учреждений</w:t>
            </w: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63D5D" w:rsidRPr="00963D5D" w:rsidTr="003002EE">
        <w:trPr>
          <w:trHeight w:val="694"/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D5D">
              <w:rPr>
                <w:rFonts w:ascii="Arial" w:hAnsi="Arial" w:cs="Arial"/>
                <w:bCs/>
                <w:sz w:val="24"/>
                <w:szCs w:val="24"/>
              </w:rPr>
              <w:t>1.3.5</w:t>
            </w:r>
            <w:r w:rsidRPr="00963D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63D5D">
              <w:rPr>
                <w:rFonts w:ascii="Arial" w:hAnsi="Arial" w:cs="Arial"/>
                <w:sz w:val="24"/>
                <w:szCs w:val="24"/>
              </w:rPr>
              <w:t>Доля руководящих и педагогических кадров, прошедших курсы повышения квалификации в общей численности педагогических и руководящих работников дошкольных учреждений"</w:t>
            </w: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1.3.6. Численность воспитанников организаций дошкольного образования в расчете на 1 педагогического работника.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 чел.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1.3.7 </w:t>
            </w:r>
          </w:p>
          <w:p w:rsidR="00963D5D" w:rsidRPr="00963D5D" w:rsidRDefault="00963D5D" w:rsidP="003002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Доля педагогов-воспитателей, принимающих участие в </w:t>
            </w:r>
            <w:r w:rsidRPr="00963D5D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конкурсах педагогического мастерства, в общей </w:t>
            </w:r>
            <w:proofErr w:type="gramStart"/>
            <w:r w:rsidRPr="00963D5D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963D5D">
              <w:rPr>
                <w:rFonts w:ascii="Arial" w:hAnsi="Arial" w:cs="Arial"/>
                <w:sz w:val="24"/>
                <w:szCs w:val="24"/>
              </w:rPr>
              <w:t xml:space="preserve"> работающих педагогов"</w:t>
            </w: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lastRenderedPageBreak/>
              <w:t xml:space="preserve">%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lastRenderedPageBreak/>
              <w:t xml:space="preserve">1.3.8.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Процент  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1.4. Материально-техническое и информационное обеспечение дошкольных образовательных организаций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1.4.1. Удельный вес числа организаций, отвечающих современным требованиям: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1.4.2.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1.4.3. Число персональных компьютеров, используемых для осуществления образовательного процесса в  дошкольных образовательных организациях.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1.5.1. Удельный вес численности детей с ограниченными возможностями здоровья в общей численности воспитанников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1.5.2. Удельный вес численности детей-инвалидов в общей численности воспитанников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1.5.3. Удельный вес числа организаций, имеющих в своем составе службу ранней помощи, консультативный пункт,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1.6. Состояние здоровья лиц, обучающихся по программам дошкольного образования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1.6.1. Пропущено дней по болезни одним ребенком в </w:t>
            </w:r>
            <w:r w:rsidRPr="00963D5D">
              <w:rPr>
                <w:rFonts w:ascii="Arial" w:hAnsi="Arial" w:cs="Arial"/>
                <w:sz w:val="24"/>
                <w:szCs w:val="24"/>
              </w:rPr>
              <w:lastRenderedPageBreak/>
              <w:t xml:space="preserve">дошкольной образовательной организации в год.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lastRenderedPageBreak/>
              <w:t>дни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1.7.1Количество открытых новых мест в  дошкольных образовательных организациях.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1.8.1. Общий объем финансовых средств, направленных на развитие системы дошкольного образования в </w:t>
            </w:r>
            <w:proofErr w:type="spellStart"/>
            <w:r w:rsidRPr="00963D5D">
              <w:rPr>
                <w:rFonts w:ascii="Arial" w:hAnsi="Arial" w:cs="Arial"/>
                <w:sz w:val="24"/>
                <w:szCs w:val="24"/>
              </w:rPr>
              <w:t>Сонковском</w:t>
            </w:r>
            <w:proofErr w:type="spellEnd"/>
            <w:r w:rsidRPr="00963D5D">
              <w:rPr>
                <w:rFonts w:ascii="Arial" w:hAnsi="Arial" w:cs="Arial"/>
                <w:sz w:val="24"/>
                <w:szCs w:val="24"/>
              </w:rPr>
              <w:t xml:space="preserve"> районе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тысяча рублей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D5D">
              <w:rPr>
                <w:rFonts w:ascii="Arial" w:hAnsi="Arial" w:cs="Arial"/>
                <w:bCs/>
                <w:sz w:val="24"/>
                <w:szCs w:val="24"/>
              </w:rPr>
              <w:t>1.8.2</w:t>
            </w:r>
            <w:r w:rsidRPr="00963D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63D5D">
              <w:rPr>
                <w:rFonts w:ascii="Arial" w:hAnsi="Arial" w:cs="Arial"/>
                <w:sz w:val="24"/>
                <w:szCs w:val="24"/>
              </w:rPr>
              <w:t>Расходы на компенсацию части родительской платы  за присмотр и уход за детьми, осваивающими общеобразовательные программы дошкольного образования в организациях, осуществляющих образовательную деятельность»</w:t>
            </w: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963D5D">
              <w:rPr>
                <w:rFonts w:ascii="Arial" w:hAnsi="Arial" w:cs="Arial"/>
                <w:i/>
                <w:sz w:val="24"/>
                <w:szCs w:val="24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1.9.1. Удельный вес числа организаций, здания которых находятся в аварийном состоянии,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963D5D" w:rsidRPr="00963D5D" w:rsidTr="003002EE"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1.9.2. Удельный вес числа организаций, здания которых требуют капитального ремонта, в общем числе дошкольных образовательных организаций.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D5D" w:rsidRPr="00963D5D" w:rsidRDefault="00963D5D" w:rsidP="00300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63D5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</w:tbl>
    <w:p w:rsidR="00963D5D" w:rsidRPr="00963D5D" w:rsidRDefault="00963D5D" w:rsidP="00963D5D">
      <w:pPr>
        <w:rPr>
          <w:rFonts w:ascii="Arial" w:hAnsi="Arial" w:cs="Arial"/>
          <w:sz w:val="24"/>
          <w:szCs w:val="24"/>
        </w:rPr>
      </w:pPr>
    </w:p>
    <w:p w:rsidR="00B3103E" w:rsidRPr="00963D5D" w:rsidRDefault="00B3103E" w:rsidP="003D7AB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6E5D" w:rsidRDefault="00F83F91" w:rsidP="003D7AB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3F91">
        <w:rPr>
          <w:rFonts w:ascii="Arial" w:hAnsi="Arial" w:cs="Arial"/>
          <w:b/>
          <w:sz w:val="24"/>
          <w:szCs w:val="24"/>
          <w:u w:val="single"/>
        </w:rPr>
        <w:t>Меры и мероприятия</w:t>
      </w:r>
    </w:p>
    <w:p w:rsidR="00F83F91" w:rsidRPr="00F83F91" w:rsidRDefault="00F83F91" w:rsidP="003D7AB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83F91" w:rsidRDefault="00F83F91" w:rsidP="003D7AB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3F91">
        <w:rPr>
          <w:rFonts w:ascii="Arial" w:hAnsi="Arial" w:cs="Arial"/>
          <w:b/>
          <w:sz w:val="24"/>
          <w:szCs w:val="24"/>
          <w:u w:val="single"/>
        </w:rPr>
        <w:t>Управленческие решения</w:t>
      </w:r>
    </w:p>
    <w:p w:rsidR="00F83F91" w:rsidRPr="00F83F91" w:rsidRDefault="00F83F91" w:rsidP="003D7AB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83F91" w:rsidRPr="00F83F91" w:rsidRDefault="00F83F91" w:rsidP="003D7AB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3F91">
        <w:rPr>
          <w:rFonts w:ascii="Arial" w:hAnsi="Arial" w:cs="Arial"/>
          <w:b/>
          <w:sz w:val="24"/>
          <w:szCs w:val="24"/>
          <w:u w:val="single"/>
        </w:rPr>
        <w:t>Анализ эффективности принятых мер</w:t>
      </w:r>
    </w:p>
    <w:sectPr w:rsidR="00F83F91" w:rsidRPr="00F83F91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xyge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1AB"/>
    <w:multiLevelType w:val="multilevel"/>
    <w:tmpl w:val="33C8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0823E0"/>
    <w:multiLevelType w:val="multilevel"/>
    <w:tmpl w:val="8D5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03E"/>
    <w:rsid w:val="001918C7"/>
    <w:rsid w:val="001A6082"/>
    <w:rsid w:val="002F16C1"/>
    <w:rsid w:val="003D7AB9"/>
    <w:rsid w:val="005234E0"/>
    <w:rsid w:val="00690EFC"/>
    <w:rsid w:val="00706CE7"/>
    <w:rsid w:val="00923F60"/>
    <w:rsid w:val="00963D5D"/>
    <w:rsid w:val="00A06AF0"/>
    <w:rsid w:val="00A9185B"/>
    <w:rsid w:val="00B3103E"/>
    <w:rsid w:val="00C15BAB"/>
    <w:rsid w:val="00D27545"/>
    <w:rsid w:val="00D905EB"/>
    <w:rsid w:val="00F83F91"/>
    <w:rsid w:val="00FD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B3103E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03E"/>
    <w:rPr>
      <w:b/>
      <w:bCs/>
    </w:rPr>
  </w:style>
  <w:style w:type="paragraph" w:styleId="a4">
    <w:name w:val="Normal (Web)"/>
    <w:basedOn w:val="a"/>
    <w:uiPriority w:val="99"/>
    <w:semiHidden/>
    <w:unhideWhenUsed/>
    <w:rsid w:val="00B3103E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B3103E"/>
    <w:rPr>
      <w:strike w:val="0"/>
      <w:dstrike w:val="0"/>
      <w:color w:val="1585B5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5" w:color="DBDBDB"/>
                        <w:right w:val="none" w:sz="0" w:space="0" w:color="auto"/>
                      </w:divBdr>
                      <w:divsChild>
                        <w:div w:id="64069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0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8A5F-36E0-48D0-B35A-349B1525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2021-07-12T12:20:00Z</dcterms:created>
  <dcterms:modified xsi:type="dcterms:W3CDTF">2021-07-13T07:30:00Z</dcterms:modified>
</cp:coreProperties>
</file>