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B7A" w:rsidRPr="00817A77" w:rsidRDefault="00747B7A" w:rsidP="00145C3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7A77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747B7A" w:rsidRPr="00817A77" w:rsidRDefault="00747B7A" w:rsidP="00145C3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47B7A" w:rsidRPr="00817A77" w:rsidRDefault="00747B7A" w:rsidP="00145C35">
      <w:pPr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7A77">
        <w:rPr>
          <w:rFonts w:ascii="Times New Roman" w:hAnsi="Times New Roman"/>
          <w:b/>
          <w:bCs/>
          <w:color w:val="000000"/>
          <w:sz w:val="28"/>
          <w:szCs w:val="28"/>
        </w:rPr>
        <w:t>НОРМАТИВНЫЕ ОСНОВЫ ФОРМИРОВАНИЯ УЧЕБНОГО ПЛАНА</w:t>
      </w:r>
    </w:p>
    <w:p w:rsidR="009767AF" w:rsidRPr="00817A77" w:rsidRDefault="009767AF" w:rsidP="00145C3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Учебный план по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профессии </w:t>
      </w:r>
      <w:r w:rsidRPr="009767AF">
        <w:rPr>
          <w:rFonts w:ascii="Times New Roman" w:hAnsi="Times New Roman"/>
          <w:color w:val="000000"/>
          <w:sz w:val="28"/>
          <w:szCs w:val="28"/>
        </w:rPr>
        <w:t>15.01.05 Сварщик (ручной и частично механизированной сварки (наплавки)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7A77">
        <w:rPr>
          <w:rFonts w:ascii="Times New Roman" w:hAnsi="Times New Roman"/>
          <w:color w:val="000000"/>
          <w:sz w:val="28"/>
          <w:szCs w:val="28"/>
        </w:rPr>
        <w:t>разработан на основе следующих документов:</w:t>
      </w:r>
    </w:p>
    <w:p w:rsidR="00747B7A" w:rsidRDefault="009767AF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767AF">
        <w:rPr>
          <w:rFonts w:ascii="Times New Roman" w:hAnsi="Times New Roman"/>
          <w:color w:val="000000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04A43" w:rsidRDefault="009767AF" w:rsidP="00690FC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E2FC6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Российской Федерации от</w:t>
      </w:r>
      <w:r w:rsidR="00904A43" w:rsidRPr="009E2FC6">
        <w:rPr>
          <w:rFonts w:ascii="Times New Roman" w:hAnsi="Times New Roman"/>
          <w:color w:val="000000"/>
          <w:sz w:val="28"/>
          <w:szCs w:val="28"/>
        </w:rPr>
        <w:t xml:space="preserve"> от 29 января 2016 г. N 50 «Об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(наплавки)»</w:t>
      </w:r>
      <w:r w:rsidR="005B7B50" w:rsidRPr="009E2FC6">
        <w:rPr>
          <w:rFonts w:ascii="Times New Roman" w:hAnsi="Times New Roman"/>
          <w:color w:val="000000"/>
          <w:sz w:val="28"/>
          <w:szCs w:val="28"/>
        </w:rPr>
        <w:t xml:space="preserve"> (в ред. </w:t>
      </w:r>
      <w:hyperlink r:id="rId5">
        <w:r w:rsidR="005B7B50" w:rsidRPr="009E2FC6">
          <w:rPr>
            <w:rFonts w:ascii="Times New Roman" w:hAnsi="Times New Roman"/>
            <w:color w:val="000000"/>
            <w:sz w:val="28"/>
            <w:szCs w:val="28"/>
          </w:rPr>
          <w:t>Приказа</w:t>
        </w:r>
      </w:hyperlink>
      <w:r w:rsidR="005B7B50" w:rsidRPr="009E2FC6">
        <w:rPr>
          <w:rFonts w:ascii="Times New Roman" w:hAnsi="Times New Roman"/>
          <w:color w:val="000000"/>
          <w:sz w:val="28"/>
          <w:szCs w:val="28"/>
        </w:rPr>
        <w:t xml:space="preserve"> Минобрнауки России от 14.09.2016 N 93,Приказов Минпросвещения России от 17.12.2020 </w:t>
      </w:r>
      <w:hyperlink r:id="rId6">
        <w:r w:rsidR="005B7B50" w:rsidRPr="009E2FC6">
          <w:rPr>
            <w:rFonts w:ascii="Times New Roman" w:hAnsi="Times New Roman"/>
            <w:color w:val="000000"/>
            <w:sz w:val="28"/>
            <w:szCs w:val="28"/>
          </w:rPr>
          <w:t>N 747</w:t>
        </w:r>
      </w:hyperlink>
      <w:r w:rsidR="005B7B50" w:rsidRPr="009E2FC6">
        <w:rPr>
          <w:rFonts w:ascii="Times New Roman" w:hAnsi="Times New Roman"/>
          <w:color w:val="000000"/>
          <w:sz w:val="28"/>
          <w:szCs w:val="28"/>
        </w:rPr>
        <w:t>,</w:t>
      </w:r>
      <w:r w:rsidR="009E2F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7B50" w:rsidRPr="009E2FC6">
        <w:rPr>
          <w:rFonts w:ascii="Times New Roman" w:hAnsi="Times New Roman"/>
          <w:color w:val="000000"/>
          <w:sz w:val="28"/>
          <w:szCs w:val="28"/>
        </w:rPr>
        <w:t xml:space="preserve">от 01.09.2022 </w:t>
      </w:r>
      <w:hyperlink r:id="rId7">
        <w:r w:rsidR="005B7B50" w:rsidRPr="009E2FC6">
          <w:rPr>
            <w:rFonts w:ascii="Times New Roman" w:hAnsi="Times New Roman"/>
            <w:color w:val="000000"/>
            <w:sz w:val="28"/>
            <w:szCs w:val="28"/>
          </w:rPr>
          <w:t>N 796</w:t>
        </w:r>
      </w:hyperlink>
    </w:p>
    <w:p w:rsidR="009E2FC6" w:rsidRPr="009E2FC6" w:rsidRDefault="009E2FC6" w:rsidP="00721B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FC6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01.09.2022 № 796 "О внесении изменений в федеральные государственные бразовательные стандарты среднего профессионального образования" (Зарегистрирован 11.10.2022 № 70461)</w:t>
      </w:r>
    </w:p>
    <w:p w:rsidR="00904A43" w:rsidRPr="0008632A" w:rsidRDefault="0008632A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8632A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 21.09.2022 № 70167)</w:t>
      </w:r>
    </w:p>
    <w:p w:rsidR="00C80150" w:rsidRPr="00C80150" w:rsidRDefault="00C80150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 (с изменениями и дополнениями)</w:t>
      </w:r>
    </w:p>
    <w:p w:rsidR="009767AF" w:rsidRDefault="00C80150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14.10.2022 № 906 "Об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заполнения,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учета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выдачи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среднем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образовании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дубликатов"</w:t>
      </w:r>
    </w:p>
    <w:p w:rsidR="00C80150" w:rsidRPr="00817A77" w:rsidRDefault="00C80150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Приказ Минобрнауки России от 27.12.2016 N 1663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бюджета" (Зарегистрировано в Минюсте России 24.01.2017 N 45376)</w:t>
      </w:r>
    </w:p>
    <w:p w:rsidR="00C80150" w:rsidRDefault="00C80150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8 ноября 2021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г. N 800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 xml:space="preserve">"Об утверждении Порядка проведения государственной итоговой аттестации </w:t>
      </w:r>
      <w:r w:rsidRPr="00C80150">
        <w:rPr>
          <w:rFonts w:ascii="Times New Roman" w:hAnsi="Times New Roman"/>
          <w:color w:val="000000"/>
          <w:sz w:val="28"/>
          <w:szCs w:val="28"/>
        </w:rPr>
        <w:lastRenderedPageBreak/>
        <w:t>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</w:rPr>
        <w:t xml:space="preserve"> (с изменениями и дополнениями)</w:t>
      </w:r>
    </w:p>
    <w:p w:rsidR="0007274E" w:rsidRPr="0007274E" w:rsidRDefault="0007274E" w:rsidP="0007274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74E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российской федерации от 17 мая 2012 г. N 413 «Об утверждении федерального государственного образовательного стандарта среднего общего образования» </w:t>
      </w:r>
      <w:r>
        <w:rPr>
          <w:color w:val="392C69"/>
        </w:rPr>
        <w:t>(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инобрнауки России от 29.12.2014 </w:t>
      </w:r>
      <w:hyperlink r:id="rId8">
        <w:r w:rsidRPr="0007274E">
          <w:rPr>
            <w:rFonts w:ascii="Times New Roman" w:hAnsi="Times New Roman"/>
            <w:color w:val="000000"/>
            <w:sz w:val="28"/>
            <w:szCs w:val="28"/>
          </w:rPr>
          <w:t>N 1645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31.12.2015 </w:t>
      </w:r>
      <w:hyperlink r:id="rId9">
        <w:r w:rsidRPr="0007274E">
          <w:rPr>
            <w:rFonts w:ascii="Times New Roman" w:hAnsi="Times New Roman"/>
            <w:color w:val="000000"/>
            <w:sz w:val="28"/>
            <w:szCs w:val="28"/>
          </w:rPr>
          <w:t>N 1578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29.06.2017 </w:t>
      </w:r>
      <w:hyperlink r:id="rId10">
        <w:r w:rsidRPr="0007274E">
          <w:rPr>
            <w:rFonts w:ascii="Times New Roman" w:hAnsi="Times New Roman"/>
            <w:color w:val="000000"/>
            <w:sz w:val="28"/>
            <w:szCs w:val="28"/>
          </w:rPr>
          <w:t>N 613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Приказов Минпросвещения России от 24.09.2020 </w:t>
      </w:r>
      <w:hyperlink r:id="rId11">
        <w:r w:rsidRPr="0007274E">
          <w:rPr>
            <w:rFonts w:ascii="Times New Roman" w:hAnsi="Times New Roman"/>
            <w:color w:val="000000"/>
            <w:sz w:val="28"/>
            <w:szCs w:val="28"/>
          </w:rPr>
          <w:t>N 519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11.12.2020 </w:t>
      </w:r>
      <w:hyperlink r:id="rId12">
        <w:r w:rsidRPr="0007274E">
          <w:rPr>
            <w:rFonts w:ascii="Times New Roman" w:hAnsi="Times New Roman"/>
            <w:color w:val="000000"/>
            <w:sz w:val="28"/>
            <w:szCs w:val="28"/>
          </w:rPr>
          <w:t>N 712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12.08.2022 </w:t>
      </w:r>
      <w:hyperlink r:id="rId13">
        <w:r w:rsidRPr="0007274E">
          <w:rPr>
            <w:rFonts w:ascii="Times New Roman" w:hAnsi="Times New Roman"/>
            <w:color w:val="000000"/>
            <w:sz w:val="28"/>
            <w:szCs w:val="28"/>
          </w:rPr>
          <w:t>N 732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 (Зарегистрировано в Минюсте России 07.06.2012 N 24480)</w:t>
      </w:r>
    </w:p>
    <w:p w:rsidR="00C80150" w:rsidRPr="00817A77" w:rsidRDefault="00C80150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0E3857" w:rsidRPr="00817A77" w:rsidRDefault="000E3857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 (Зарегистрировано в Минюсте России 29.01.2021 N 62296)</w:t>
      </w:r>
    </w:p>
    <w:p w:rsidR="000E3857" w:rsidRPr="00817A77" w:rsidRDefault="000E3857" w:rsidP="00145C3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 учетом:</w:t>
      </w:r>
    </w:p>
    <w:p w:rsidR="00C80150" w:rsidRDefault="000E3857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ПООП</w:t>
      </w:r>
    </w:p>
    <w:p w:rsidR="00B871AF" w:rsidRDefault="00B871AF" w:rsidP="00145C3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Профессиональный стандарт «</w:t>
      </w:r>
      <w:r w:rsidRPr="00B871AF">
        <w:rPr>
          <w:rFonts w:ascii="Times New Roman" w:hAnsi="Times New Roman"/>
          <w:color w:val="000000"/>
          <w:sz w:val="28"/>
          <w:szCs w:val="28"/>
        </w:rPr>
        <w:t>Ручная и частично механизированная сварка (наплавка)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утвержден приказом Министерства труда и социальной защиты Российской Федерации </w:t>
      </w:r>
      <w:r w:rsidRPr="00B871AF">
        <w:rPr>
          <w:rFonts w:ascii="Times New Roman" w:hAnsi="Times New Roman"/>
          <w:color w:val="000000"/>
          <w:sz w:val="28"/>
          <w:szCs w:val="28"/>
        </w:rPr>
        <w:t>от 28 ноября 2013 № 701н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871AF">
        <w:rPr>
          <w:rFonts w:ascii="Times New Roman" w:hAnsi="Times New Roman"/>
          <w:color w:val="000000"/>
          <w:sz w:val="28"/>
          <w:szCs w:val="28"/>
        </w:rPr>
        <w:t>Зарегистрировано в Минюсте России 13 февраля 2014 г. N 31301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260C15">
        <w:rPr>
          <w:rFonts w:ascii="Times New Roman" w:hAnsi="Times New Roman"/>
          <w:color w:val="000000"/>
          <w:sz w:val="28"/>
          <w:szCs w:val="28"/>
        </w:rPr>
        <w:t>.</w:t>
      </w:r>
    </w:p>
    <w:p w:rsidR="00260C15" w:rsidRDefault="00260C15" w:rsidP="00145C35">
      <w:pPr>
        <w:spacing w:after="0" w:line="240" w:lineRule="auto"/>
        <w:ind w:left="72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0C15" w:rsidRPr="00817A77" w:rsidRDefault="00260C15" w:rsidP="00145C35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2. ОБЩИЕ ПОЛОЖЕНИЯ</w:t>
      </w:r>
    </w:p>
    <w:p w:rsidR="00B16BED" w:rsidRDefault="00B16BED" w:rsidP="00145C3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Содержание образования по профессии 15.01.</w:t>
      </w:r>
      <w:r>
        <w:rPr>
          <w:rFonts w:ascii="Times New Roman" w:hAnsi="Times New Roman"/>
          <w:color w:val="000000"/>
          <w:sz w:val="28"/>
          <w:szCs w:val="28"/>
        </w:rPr>
        <w:t>05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67AF">
        <w:rPr>
          <w:rFonts w:ascii="Times New Roman" w:hAnsi="Times New Roman"/>
          <w:color w:val="000000"/>
          <w:sz w:val="28"/>
          <w:szCs w:val="28"/>
        </w:rPr>
        <w:t>Сварщик (ручной и частично механизированной сварки (наплавки)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 (далее - профессия). определяется образовательной программой, разработанной в соответствии с ФГОС СПО по профессии 15.01.</w:t>
      </w:r>
      <w:r>
        <w:rPr>
          <w:rFonts w:ascii="Times New Roman" w:hAnsi="Times New Roman"/>
          <w:color w:val="000000"/>
          <w:sz w:val="28"/>
          <w:szCs w:val="28"/>
        </w:rPr>
        <w:t>05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67AF">
        <w:rPr>
          <w:rFonts w:ascii="Times New Roman" w:hAnsi="Times New Roman"/>
          <w:color w:val="000000"/>
          <w:sz w:val="28"/>
          <w:szCs w:val="28"/>
        </w:rPr>
        <w:t>Сварщик (ручной и частично механизированной сварки (наплавки)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 с учетом примерной основной образовательной программы (далее - ОПОП) "Об утверждении профессионального стандарта "</w:t>
      </w:r>
      <w:r w:rsidRPr="00B871AF">
        <w:rPr>
          <w:rFonts w:ascii="Times New Roman" w:hAnsi="Times New Roman"/>
          <w:color w:val="000000"/>
          <w:sz w:val="28"/>
          <w:szCs w:val="28"/>
        </w:rPr>
        <w:t>Ручная и частично механизированная сварка (наплавка)</w:t>
      </w:r>
      <w:r w:rsidRPr="00817A77">
        <w:rPr>
          <w:rFonts w:ascii="Times New Roman" w:hAnsi="Times New Roman"/>
          <w:color w:val="000000"/>
          <w:sz w:val="28"/>
          <w:szCs w:val="28"/>
        </w:rPr>
        <w:t>" и предполагает освоение следующих видов деятельности:</w:t>
      </w:r>
    </w:p>
    <w:p w:rsidR="00B16BED" w:rsidRPr="0016720F" w:rsidRDefault="0016720F" w:rsidP="00145C35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6720F">
        <w:rPr>
          <w:rFonts w:ascii="Times New Roman" w:hAnsi="Times New Roman"/>
          <w:color w:val="000000"/>
          <w:sz w:val="28"/>
          <w:szCs w:val="28"/>
        </w:rPr>
        <w:t>Подготовительно-сварочные работы и контроль качества сварных швов после сварки</w:t>
      </w:r>
    </w:p>
    <w:p w:rsidR="0016720F" w:rsidRPr="0016720F" w:rsidRDefault="0016720F" w:rsidP="00145C35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6720F">
        <w:rPr>
          <w:rFonts w:ascii="Times New Roman" w:hAnsi="Times New Roman"/>
          <w:color w:val="000000"/>
          <w:sz w:val="28"/>
          <w:szCs w:val="28"/>
        </w:rPr>
        <w:t>Ручная дуговая сварка (наплавка, резка) плавящимся покрытым электродом</w:t>
      </w:r>
    </w:p>
    <w:p w:rsidR="0016720F" w:rsidRPr="0016720F" w:rsidRDefault="0016720F" w:rsidP="00145C35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6720F">
        <w:rPr>
          <w:rFonts w:ascii="Times New Roman" w:hAnsi="Times New Roman"/>
          <w:color w:val="000000"/>
          <w:sz w:val="28"/>
          <w:szCs w:val="28"/>
        </w:rPr>
        <w:t>Частично механизированная сварка (наплавка) плавлением</w:t>
      </w:r>
    </w:p>
    <w:p w:rsidR="00145C35" w:rsidRPr="00817A77" w:rsidRDefault="00145C35" w:rsidP="00145C3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lastRenderedPageBreak/>
        <w:t>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145C35" w:rsidRPr="00817A77" w:rsidRDefault="00145C35" w:rsidP="00145C35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на базе основного общего образования -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 года 10 месяцев;</w:t>
      </w:r>
    </w:p>
    <w:p w:rsidR="000B3D8C" w:rsidRPr="000B3D8C" w:rsidRDefault="000B3D8C" w:rsidP="000B3D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3D8C">
        <w:rPr>
          <w:rFonts w:ascii="Times New Roman" w:hAnsi="Times New Roman"/>
          <w:color w:val="000000"/>
          <w:sz w:val="28"/>
          <w:szCs w:val="28"/>
        </w:rPr>
        <w:t>Образовательная программа, реализуемая на базе основного общего образования, разрабатывается БУ «Белоярский политехнический колледж»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0B3D8C" w:rsidRDefault="000B3D8C" w:rsidP="000B3D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70"/>
      <w:bookmarkEnd w:id="0"/>
      <w:r w:rsidRPr="000B3D8C">
        <w:rPr>
          <w:rFonts w:ascii="Times New Roman" w:hAnsi="Times New Roman"/>
          <w:color w:val="000000"/>
          <w:sz w:val="28"/>
          <w:szCs w:val="28"/>
        </w:rPr>
        <w:t xml:space="preserve">БУ «Белоярский политехнический колледж» разрабатывает образовательную программу исходя из следующего сочетания квалификаций квалифицированного рабочего, служащего указанных в </w:t>
      </w:r>
      <w:hyperlink r:id="rId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------------ Недействующая редакция{Консультан" w:history="1">
        <w:r w:rsidRPr="000B3D8C">
          <w:rPr>
            <w:rFonts w:ascii="Times New Roman" w:hAnsi="Times New Roman"/>
            <w:color w:val="000000"/>
            <w:sz w:val="28"/>
            <w:szCs w:val="28"/>
          </w:rPr>
          <w:t>Перечне</w:t>
        </w:r>
      </w:hyperlink>
      <w:r w:rsidRPr="000B3D8C">
        <w:rPr>
          <w:rFonts w:ascii="Times New Roman" w:hAnsi="Times New Roman"/>
          <w:color w:val="000000"/>
          <w:sz w:val="28"/>
          <w:szCs w:val="28"/>
        </w:rPr>
        <w:t xml:space="preserve"> профессий среднего профессионального образования, утвержденном Приказ Минобрнауки России от 29.10.2013 N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N 30861)</w:t>
      </w:r>
    </w:p>
    <w:p w:rsidR="00E928C5" w:rsidRDefault="00E928C5" w:rsidP="000B3D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7697" w:rsidRPr="006A7697" w:rsidRDefault="006A7697" w:rsidP="006A7697">
      <w:pPr>
        <w:pStyle w:val="s16"/>
        <w:shd w:val="clear" w:color="auto" w:fill="FFFFFF"/>
        <w:spacing w:before="0" w:beforeAutospacing="0" w:after="0" w:afterAutospacing="0"/>
        <w:jc w:val="center"/>
        <w:rPr>
          <w:i/>
          <w:iCs/>
          <w:color w:val="22272F"/>
          <w:sz w:val="28"/>
          <w:szCs w:val="28"/>
        </w:rPr>
      </w:pPr>
      <w:r w:rsidRPr="006A7697">
        <w:rPr>
          <w:i/>
          <w:iCs/>
          <w:color w:val="22272F"/>
          <w:sz w:val="28"/>
          <w:szCs w:val="28"/>
        </w:rPr>
        <w:t>Сварщик ручной дуговой сварки плавящимся покрытым электродом</w:t>
      </w:r>
    </w:p>
    <w:p w:rsidR="006A7697" w:rsidRPr="006A7697" w:rsidRDefault="006A7697" w:rsidP="006A7697">
      <w:pPr>
        <w:pStyle w:val="s16"/>
        <w:shd w:val="clear" w:color="auto" w:fill="FFFFFF"/>
        <w:spacing w:before="0" w:beforeAutospacing="0" w:after="0" w:afterAutospacing="0"/>
        <w:jc w:val="center"/>
        <w:rPr>
          <w:i/>
          <w:iCs/>
          <w:color w:val="22272F"/>
          <w:sz w:val="28"/>
          <w:szCs w:val="28"/>
        </w:rPr>
      </w:pPr>
      <w:r w:rsidRPr="006A7697">
        <w:rPr>
          <w:i/>
          <w:iCs/>
          <w:color w:val="22272F"/>
          <w:sz w:val="28"/>
          <w:szCs w:val="28"/>
        </w:rPr>
        <w:t>Сварщик частично механизированной сварки плавлением</w:t>
      </w:r>
    </w:p>
    <w:p w:rsidR="00AD2E74" w:rsidRPr="006A7697" w:rsidRDefault="00AD2E74" w:rsidP="006A7697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260C15" w:rsidRDefault="00E928C5" w:rsidP="000B3D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8C5">
        <w:rPr>
          <w:rFonts w:ascii="Times New Roman" w:hAnsi="Times New Roman"/>
          <w:color w:val="000000"/>
          <w:sz w:val="28"/>
          <w:szCs w:val="28"/>
        </w:rPr>
        <w:t>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28C5" w:rsidRDefault="00E928C5" w:rsidP="000B3D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28C5" w:rsidRPr="00817A77" w:rsidRDefault="00E928C5" w:rsidP="00E928C5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3. СТРУКТУРА УЧЕБНОГО ПЛАНА</w:t>
      </w:r>
    </w:p>
    <w:p w:rsidR="00C030EA" w:rsidRPr="00817A77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Образовательная программа имеет следующую структуру:</w:t>
      </w:r>
    </w:p>
    <w:p w:rsidR="00C030EA" w:rsidRPr="00817A77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общепрофессиональный цикл;</w:t>
      </w:r>
    </w:p>
    <w:p w:rsidR="00C030EA" w:rsidRPr="00817A77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профессиональный цикл;</w:t>
      </w:r>
    </w:p>
    <w:p w:rsidR="00C030EA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государственная итоговая аттестация, которая завершается присвоением квалификаций квалифицированного рабочего, служащего, указанных в </w:t>
      </w:r>
      <w:hyperlink w:anchor="Par70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 указанных в Перечне профессий среднего профессионального образования, утвержденном приказом Министерств" w:history="1">
        <w:r w:rsidRPr="00817A77">
          <w:rPr>
            <w:rFonts w:ascii="Times New Roman" w:hAnsi="Times New Roman"/>
            <w:color w:val="000000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color w:val="000000"/>
            <w:sz w:val="28"/>
            <w:szCs w:val="28"/>
          </w:rPr>
          <w:t>3.2</w:t>
        </w:r>
      </w:hyperlink>
      <w:r w:rsidRPr="00817A77">
        <w:rPr>
          <w:rFonts w:ascii="Times New Roman" w:hAnsi="Times New Roman"/>
          <w:color w:val="000000"/>
          <w:sz w:val="28"/>
          <w:szCs w:val="28"/>
        </w:rPr>
        <w:t xml:space="preserve"> настоящего ФГОС СПО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030EA" w:rsidRPr="00817A77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Таблица</w:t>
      </w:r>
    </w:p>
    <w:p w:rsidR="00C030EA" w:rsidRPr="00817A77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30EA" w:rsidRPr="00C030EA" w:rsidRDefault="00C030EA" w:rsidP="00C030E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Par89"/>
      <w:bookmarkEnd w:id="1"/>
      <w:r w:rsidRPr="00C030EA">
        <w:rPr>
          <w:rFonts w:ascii="Times New Roman" w:hAnsi="Times New Roman"/>
          <w:color w:val="000000"/>
          <w:sz w:val="28"/>
          <w:szCs w:val="28"/>
        </w:rPr>
        <w:t>Структура программы подготовки квалифицированных</w:t>
      </w:r>
    </w:p>
    <w:p w:rsidR="00C030EA" w:rsidRPr="00C030EA" w:rsidRDefault="00C030EA" w:rsidP="00C030E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030EA">
        <w:rPr>
          <w:rFonts w:ascii="Times New Roman" w:hAnsi="Times New Roman"/>
          <w:color w:val="000000"/>
          <w:sz w:val="28"/>
          <w:szCs w:val="28"/>
        </w:rPr>
        <w:t>рабочих, служащих</w:t>
      </w:r>
    </w:p>
    <w:p w:rsidR="00C030EA" w:rsidRPr="00C030EA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30EA">
        <w:rPr>
          <w:rFonts w:ascii="Times New Roman" w:hAnsi="Times New Roman"/>
          <w:color w:val="000000"/>
          <w:sz w:val="28"/>
          <w:szCs w:val="28"/>
        </w:rPr>
        <w:t xml:space="preserve">(в ред. </w:t>
      </w:r>
      <w:hyperlink r:id="rId15">
        <w:r w:rsidRPr="00C030EA">
          <w:rPr>
            <w:rFonts w:ascii="Times New Roman" w:hAnsi="Times New Roman"/>
            <w:color w:val="000000"/>
            <w:sz w:val="28"/>
            <w:szCs w:val="28"/>
          </w:rPr>
          <w:t>Приказа</w:t>
        </w:r>
      </w:hyperlink>
      <w:r w:rsidRPr="00C030EA">
        <w:rPr>
          <w:rFonts w:ascii="Times New Roman" w:hAnsi="Times New Roman"/>
          <w:color w:val="000000"/>
          <w:sz w:val="28"/>
          <w:szCs w:val="28"/>
        </w:rPr>
        <w:t xml:space="preserve"> Минпросвещения России от 01.09.2022 N 796)</w:t>
      </w:r>
    </w:p>
    <w:p w:rsidR="00C030EA" w:rsidRPr="00C030EA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4762"/>
        <w:gridCol w:w="1757"/>
        <w:gridCol w:w="1417"/>
      </w:tblGrid>
      <w:tr w:rsidR="00C030EA" w:rsidRPr="00C030EA" w:rsidTr="00572923">
        <w:tc>
          <w:tcPr>
            <w:tcW w:w="5876" w:type="dxa"/>
            <w:gridSpan w:val="2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7" w:type="dxa"/>
          </w:tcPr>
          <w:p w:rsidR="00C030EA" w:rsidRPr="00C030EA" w:rsidRDefault="00C030EA" w:rsidP="00572923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Всего максимальной учебной нагрузки обучающегося (час./нед.)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В том числе часов обязательных учебных занятий</w:t>
            </w:r>
          </w:p>
        </w:tc>
      </w:tr>
      <w:tr w:rsidR="00C030EA" w:rsidRPr="00C030EA" w:rsidTr="00572923">
        <w:tc>
          <w:tcPr>
            <w:tcW w:w="5876" w:type="dxa"/>
            <w:gridSpan w:val="2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учебные циклы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lastRenderedPageBreak/>
              <w:t>ОП.00</w:t>
            </w: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общепрофессиональный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144</w:t>
            </w: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П.00</w:t>
            </w: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профессиональный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292</w:t>
            </w:r>
          </w:p>
        </w:tc>
      </w:tr>
      <w:tr w:rsidR="00C030EA" w:rsidRPr="00C030EA" w:rsidTr="00572923">
        <w:tc>
          <w:tcPr>
            <w:tcW w:w="5876" w:type="dxa"/>
            <w:gridSpan w:val="2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и разделы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ФК.00</w:t>
            </w: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вариативная часть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108</w:t>
            </w: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864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576</w:t>
            </w:r>
          </w:p>
        </w:tc>
      </w:tr>
      <w:tr w:rsidR="00C030EA" w:rsidRPr="00C030EA" w:rsidTr="00572923">
        <w:tc>
          <w:tcPr>
            <w:tcW w:w="1114" w:type="dxa"/>
            <w:tcBorders>
              <w:bottom w:val="nil"/>
            </w:tcBorders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УП.00</w:t>
            </w:r>
          </w:p>
        </w:tc>
        <w:tc>
          <w:tcPr>
            <w:tcW w:w="4762" w:type="dxa"/>
            <w:vMerge w:val="restart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учебная и производственная практики</w:t>
            </w:r>
          </w:p>
        </w:tc>
        <w:tc>
          <w:tcPr>
            <w:tcW w:w="1757" w:type="dxa"/>
            <w:vMerge w:val="restart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22 нед.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C030EA" w:rsidRPr="00C030EA" w:rsidTr="00572923">
        <w:tc>
          <w:tcPr>
            <w:tcW w:w="1114" w:type="dxa"/>
            <w:tcBorders>
              <w:top w:val="nil"/>
            </w:tcBorders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ПП.00</w:t>
            </w:r>
          </w:p>
        </w:tc>
        <w:tc>
          <w:tcPr>
            <w:tcW w:w="4762" w:type="dxa"/>
            <w:vMerge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7" w:type="dxa"/>
            <w:vMerge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ПА.00</w:t>
            </w: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промежуточная аттестация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1 нед.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ГИА.00</w:t>
            </w: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государственная итоговая аттестация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2 нед.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color w:val="000000"/>
              </w:rPr>
            </w:pPr>
            <w:r w:rsidRPr="00572923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C030EA" w:rsidRPr="00C030EA" w:rsidTr="00572923">
        <w:tc>
          <w:tcPr>
            <w:tcW w:w="5876" w:type="dxa"/>
            <w:gridSpan w:val="2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Общий объем образовательной программы: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на базе среднего общего образования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41 нед.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2923">
              <w:rPr>
                <w:rFonts w:ascii="Times New Roman" w:hAnsi="Times New Roman"/>
                <w:b/>
                <w:bCs/>
                <w:color w:val="000000"/>
              </w:rPr>
              <w:t>1476</w:t>
            </w:r>
          </w:p>
        </w:tc>
      </w:tr>
      <w:tr w:rsidR="00C030EA" w:rsidRPr="00C030EA" w:rsidTr="00572923">
        <w:tc>
          <w:tcPr>
            <w:tcW w:w="1114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2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757" w:type="dxa"/>
          </w:tcPr>
          <w:p w:rsidR="00C030EA" w:rsidRPr="00C030EA" w:rsidRDefault="00C030EA" w:rsidP="00C0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030EA">
              <w:rPr>
                <w:rFonts w:ascii="Times New Roman" w:hAnsi="Times New Roman"/>
                <w:color w:val="000000"/>
              </w:rPr>
              <w:t>82 нед.</w:t>
            </w:r>
          </w:p>
        </w:tc>
        <w:tc>
          <w:tcPr>
            <w:tcW w:w="1417" w:type="dxa"/>
            <w:shd w:val="clear" w:color="auto" w:fill="auto"/>
          </w:tcPr>
          <w:p w:rsidR="00C030EA" w:rsidRPr="00572923" w:rsidRDefault="00C030EA" w:rsidP="00572923">
            <w:pPr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72923">
              <w:rPr>
                <w:rFonts w:ascii="Times New Roman" w:hAnsi="Times New Roman"/>
                <w:b/>
                <w:bCs/>
                <w:color w:val="000000"/>
              </w:rPr>
              <w:t>2952</w:t>
            </w:r>
          </w:p>
        </w:tc>
      </w:tr>
    </w:tbl>
    <w:p w:rsidR="00C030EA" w:rsidRDefault="00C030EA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E74" w:rsidRDefault="00AD2E74" w:rsidP="00AD2E7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28C5">
        <w:rPr>
          <w:rFonts w:ascii="Times New Roman" w:hAnsi="Times New Roman"/>
          <w:i/>
          <w:iCs/>
          <w:color w:val="000000"/>
          <w:sz w:val="28"/>
          <w:szCs w:val="28"/>
        </w:rPr>
        <w:t>сварщик ручной дуговой сварки плавящимся покрытым электродом; сварщик частично механизированной сварки плавлением</w:t>
      </w:r>
    </w:p>
    <w:p w:rsidR="00AD2E74" w:rsidRPr="00817A77" w:rsidRDefault="00AD2E74" w:rsidP="00C03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2923" w:rsidRPr="00817A77" w:rsidRDefault="00572923" w:rsidP="0057292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Учебный план включает:</w:t>
      </w:r>
    </w:p>
    <w:p w:rsidR="00572923" w:rsidRPr="00817A77" w:rsidRDefault="00572923" w:rsidP="00572923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среднее общее образование;</w:t>
      </w:r>
    </w:p>
    <w:p w:rsidR="00572923" w:rsidRPr="00817A77" w:rsidRDefault="00572923" w:rsidP="00572923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дисциплины;</w:t>
      </w:r>
    </w:p>
    <w:p w:rsidR="00572923" w:rsidRPr="00817A77" w:rsidRDefault="00572923" w:rsidP="00572923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профессиональные модули;</w:t>
      </w:r>
    </w:p>
    <w:p w:rsidR="00572923" w:rsidRPr="00817A77" w:rsidRDefault="00572923" w:rsidP="00572923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учебную и производственную практики;</w:t>
      </w:r>
    </w:p>
    <w:p w:rsidR="00572923" w:rsidRPr="00817A77" w:rsidRDefault="00572923" w:rsidP="00572923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производственную практику;</w:t>
      </w:r>
    </w:p>
    <w:p w:rsidR="00572923" w:rsidRPr="00817A77" w:rsidRDefault="00572923" w:rsidP="00572923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государственную итоговую аттестацию.</w:t>
      </w:r>
    </w:p>
    <w:p w:rsidR="00572923" w:rsidRPr="00817A77" w:rsidRDefault="00572923" w:rsidP="00572923">
      <w:pPr>
        <w:pStyle w:val="ConsPlusNormal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923" w:rsidRPr="00817A77" w:rsidRDefault="00572923" w:rsidP="005729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образовательной программы выделены обязательная часть и часть, формируемая участниками образовательных отношений (вариативная часть).</w:t>
      </w:r>
    </w:p>
    <w:p w:rsidR="00572923" w:rsidRPr="00817A77" w:rsidRDefault="00572923" w:rsidP="005729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компетенций: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</w:t>
      </w:r>
      <w:r w:rsidRPr="00D769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 профессиональной деятельности;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76921" w:rsidRPr="00D76921" w:rsidRDefault="00D76921" w:rsidP="00D769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921">
        <w:rPr>
          <w:rFonts w:ascii="Times New Roman" w:hAnsi="Times New Roman" w:cs="Times New Roman"/>
          <w:color w:val="000000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3F3343" w:rsidRPr="003F3343" w:rsidRDefault="003F3343" w:rsidP="003F33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343">
        <w:rPr>
          <w:rFonts w:ascii="Times New Roman" w:hAnsi="Times New Roman" w:cs="Times New Roman"/>
          <w:color w:val="000000"/>
          <w:sz w:val="28"/>
          <w:szCs w:val="28"/>
        </w:rPr>
        <w:t xml:space="preserve">(п. 5.1 в ред. </w:t>
      </w:r>
      <w:hyperlink r:id="rId16">
        <w:r w:rsidRPr="003F3343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3F3343">
        <w:rPr>
          <w:rFonts w:ascii="Times New Roman" w:hAnsi="Times New Roman" w:cs="Times New Roman"/>
          <w:color w:val="000000"/>
          <w:sz w:val="28"/>
          <w:szCs w:val="28"/>
        </w:rPr>
        <w:t xml:space="preserve"> Минпросвещения России от 01.09.2022 N 796)</w:t>
      </w:r>
    </w:p>
    <w:p w:rsidR="00681FBC" w:rsidRPr="00817A77" w:rsidRDefault="00681FBC" w:rsidP="00681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подготовительных, сборочных операций перед сваркой, зачистка и контроль сварных швов после сварки.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1.1. Читать чертежи средней сложности и сложных сварных металлоконструкций.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1.2. Использовать конструкторскую, нормативно-техническую и производственно-технологическую документацию по сварке.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1.3. Проверять оснащенность, работоспособность, исправность и осуществлять настройку оборудования поста для различных способов сварки.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1.4. Подготавливать и проверять сварочные материалы для различных способов сварки.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1.5. Выполнять сборку и подготовку элементов конструкции под сварку.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1.6. Проводить контроль подготовки и сборки элементов конструкции под сварку.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1.7. Выполнять предварительный, сопутствующий (межслойный) подогрева металла.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 xml:space="preserve">ПК 1.8. Зачищать и удалять поверхностные дефекты сварных швов после </w:t>
      </w:r>
      <w:r w:rsidRPr="00C8486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сварки.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Ручная дуговая сварка (наплавка, резка) плавящимся покрытым электродом.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2.1. Выполнять ручную дуговую сварку различных деталей из углеродистых и конструкционных сталей во всех пространственных положениях сварного шва.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2.2. Выполнять ручную дуговую сварку различных деталей из цветных металлов и сплавов во всех пространственных положениях сварного шва.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2.3. Выполнять ручную дуговую наплавку покрытыми электродами различных деталей.</w:t>
      </w:r>
    </w:p>
    <w:p w:rsidR="00C84866" w:rsidRPr="00C84866" w:rsidRDefault="00C84866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866">
        <w:rPr>
          <w:rFonts w:ascii="Times New Roman" w:hAnsi="Times New Roman" w:cs="Times New Roman"/>
          <w:color w:val="000000"/>
          <w:sz w:val="28"/>
          <w:szCs w:val="28"/>
        </w:rPr>
        <w:t>ПК 2.4. Выполнять дуговую резку различных деталей.</w:t>
      </w:r>
    </w:p>
    <w:p w:rsidR="00681FBC" w:rsidRPr="00681FBC" w:rsidRDefault="00681FBC" w:rsidP="00681FB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1F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Частично механизированная сварка (наплавка) плавлением различных деталей.</w:t>
      </w:r>
    </w:p>
    <w:p w:rsidR="00681FBC" w:rsidRPr="00681FBC" w:rsidRDefault="00681FBC" w:rsidP="00681F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FBC">
        <w:rPr>
          <w:rFonts w:ascii="Times New Roman" w:hAnsi="Times New Roman" w:cs="Times New Roman"/>
          <w:color w:val="000000"/>
          <w:sz w:val="28"/>
          <w:szCs w:val="28"/>
        </w:rPr>
        <w:t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шва.</w:t>
      </w:r>
    </w:p>
    <w:p w:rsidR="00681FBC" w:rsidRPr="00681FBC" w:rsidRDefault="00681FBC" w:rsidP="00681F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FBC">
        <w:rPr>
          <w:rFonts w:ascii="Times New Roman" w:hAnsi="Times New Roman" w:cs="Times New Roman"/>
          <w:color w:val="000000"/>
          <w:sz w:val="28"/>
          <w:szCs w:val="28"/>
        </w:rPr>
        <w:t>ПК 4.2.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шва.</w:t>
      </w:r>
    </w:p>
    <w:p w:rsidR="00681FBC" w:rsidRPr="00681FBC" w:rsidRDefault="00681FBC" w:rsidP="00681F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FBC">
        <w:rPr>
          <w:rFonts w:ascii="Times New Roman" w:hAnsi="Times New Roman" w:cs="Times New Roman"/>
          <w:color w:val="000000"/>
          <w:sz w:val="28"/>
          <w:szCs w:val="28"/>
        </w:rPr>
        <w:t>ПК 4.3. Выполнять частично механизированную наплавку различных деталей.</w:t>
      </w:r>
    </w:p>
    <w:p w:rsidR="00E24140" w:rsidRPr="00E24140" w:rsidRDefault="00E24140" w:rsidP="00E241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140">
        <w:rPr>
          <w:rFonts w:ascii="Times New Roman" w:hAnsi="Times New Roman" w:cs="Times New Roman"/>
          <w:color w:val="000000"/>
          <w:sz w:val="28"/>
          <w:szCs w:val="28"/>
        </w:rPr>
        <w:t>Обязательная часть профессионального учебного цикла ППКРС предусматрива</w:t>
      </w:r>
      <w:r w:rsidR="001C503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E24140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68 часов, из них на освоение основ военной службы - 70 процентов от общего объема времени, отведенного на указанную дисциплину.</w:t>
      </w:r>
    </w:p>
    <w:p w:rsidR="00E24140" w:rsidRPr="00E24140" w:rsidRDefault="00E24140" w:rsidP="00E241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140">
        <w:rPr>
          <w:rFonts w:ascii="Times New Roman" w:hAnsi="Times New Roman" w:cs="Times New Roman"/>
          <w:color w:val="000000"/>
          <w:sz w:val="28"/>
          <w:szCs w:val="28"/>
        </w:rPr>
        <w:t>Раздел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раздела "Физическая культура" с учетом состояния их здоровья.</w:t>
      </w:r>
    </w:p>
    <w:p w:rsidR="009B4FF8" w:rsidRPr="00E24140" w:rsidRDefault="009B4FF8" w:rsidP="00E241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FF8">
        <w:rPr>
          <w:rFonts w:ascii="Times New Roman" w:hAnsi="Times New Roman" w:cs="Times New Roman"/>
          <w:color w:val="000000"/>
          <w:sz w:val="28"/>
          <w:szCs w:val="28"/>
        </w:rPr>
        <w:t>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E928C5" w:rsidRDefault="009B4FF8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FF8">
        <w:rPr>
          <w:rFonts w:ascii="Times New Roman" w:hAnsi="Times New Roman" w:cs="Times New Roman"/>
          <w:color w:val="000000"/>
          <w:sz w:val="28"/>
          <w:szCs w:val="28"/>
        </w:rPr>
        <w:t>Максимальный объем аудиторной учебной нагрузки в очной форме обучения составляет 36 академических часов в неделю.</w:t>
      </w:r>
    </w:p>
    <w:p w:rsidR="00206BE1" w:rsidRDefault="00206BE1" w:rsidP="00206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939874"/>
      <w:r w:rsidRPr="00817A77">
        <w:rPr>
          <w:rFonts w:ascii="Times New Roman" w:hAnsi="Times New Roman" w:cs="Times New Roman"/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bookmarkEnd w:id="2"/>
    <w:p w:rsidR="00206BE1" w:rsidRDefault="00206BE1" w:rsidP="00206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BE1" w:rsidRPr="005A1387" w:rsidRDefault="00206BE1" w:rsidP="00206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387">
        <w:rPr>
          <w:rFonts w:ascii="Times New Roman" w:hAnsi="Times New Roman" w:cs="Times New Roman"/>
          <w:sz w:val="28"/>
          <w:szCs w:val="28"/>
        </w:rPr>
        <w:lastRenderedPageBreak/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706"/>
        <w:gridCol w:w="1984"/>
        <w:gridCol w:w="1871"/>
        <w:gridCol w:w="24"/>
      </w:tblGrid>
      <w:tr w:rsidR="00206BE1" w:rsidTr="00206BE1">
        <w:trPr>
          <w:gridAfter w:val="1"/>
          <w:wAfter w:w="24" w:type="dxa"/>
        </w:trPr>
        <w:tc>
          <w:tcPr>
            <w:tcW w:w="704" w:type="dxa"/>
          </w:tcPr>
          <w:p w:rsidR="00206BE1" w:rsidRPr="00206BE1" w:rsidRDefault="00206BE1" w:rsidP="00206BE1">
            <w:pPr>
              <w:pStyle w:val="ConsPlusNormal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706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Название профессии/сочетаний квалификаций</w:t>
            </w:r>
          </w:p>
        </w:tc>
        <w:tc>
          <w:tcPr>
            <w:tcW w:w="1984" w:type="dxa"/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Индекс модулей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</w:tcPr>
          <w:p w:rsidR="00206BE1" w:rsidRPr="00206BE1" w:rsidRDefault="00206BE1" w:rsidP="00206BE1">
            <w:pPr>
              <w:pStyle w:val="ConsPlusNormal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  <w:vMerge w:val="restart"/>
          </w:tcPr>
          <w:p w:rsidR="00206BE1" w:rsidRPr="00206BE1" w:rsidRDefault="00206BE1" w:rsidP="00206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  <w:vMerge w:val="restart"/>
          </w:tcPr>
          <w:p w:rsidR="00206BE1" w:rsidRPr="00206BE1" w:rsidRDefault="00206BE1" w:rsidP="00206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Сварщик ручной дуговой сварки плавящимся покрытым электродом</w:t>
            </w:r>
          </w:p>
        </w:tc>
        <w:tc>
          <w:tcPr>
            <w:tcW w:w="1984" w:type="dxa"/>
            <w:tcBorders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ОК 1 - ОК 6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ОП.00</w:t>
            </w:r>
          </w:p>
        </w:tc>
      </w:tr>
      <w:tr w:rsidR="00206BE1" w:rsidTr="00206BE1">
        <w:tblPrEx>
          <w:tblBorders>
            <w:insideH w:val="nil"/>
          </w:tblBorders>
        </w:tblPrEx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1.1 - 1.9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2.1 - 2.4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ПМ.02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  <w:vMerge w:val="restart"/>
          </w:tcPr>
          <w:p w:rsidR="00206BE1" w:rsidRPr="00206BE1" w:rsidRDefault="00206BE1" w:rsidP="00206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  <w:vMerge w:val="restart"/>
          </w:tcPr>
          <w:p w:rsidR="00206BE1" w:rsidRPr="00206BE1" w:rsidRDefault="00206BE1" w:rsidP="00206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Сварщик частично механизированной сварки плавлением</w:t>
            </w:r>
          </w:p>
        </w:tc>
        <w:tc>
          <w:tcPr>
            <w:tcW w:w="1984" w:type="dxa"/>
            <w:tcBorders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ОК 1 - ОК 6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ОП.00</w:t>
            </w:r>
          </w:p>
        </w:tc>
      </w:tr>
      <w:tr w:rsidR="00206BE1" w:rsidTr="00206BE1">
        <w:tblPrEx>
          <w:tblBorders>
            <w:insideH w:val="nil"/>
          </w:tblBorders>
        </w:tblPrEx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1.1 - 1.9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4.1 - 4.3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ПМ.04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  <w:vMerge w:val="restart"/>
          </w:tcPr>
          <w:p w:rsidR="00206BE1" w:rsidRPr="00206BE1" w:rsidRDefault="00206BE1" w:rsidP="00206BE1">
            <w:pPr>
              <w:pStyle w:val="ConsPlusNormal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06" w:type="dxa"/>
            <w:vMerge w:val="restart"/>
          </w:tcPr>
          <w:p w:rsidR="00206BE1" w:rsidRPr="00206BE1" w:rsidRDefault="00206BE1" w:rsidP="00206BE1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Сварщик ручной дуговой сварки плавящимся покрытым электродом - Газосварщик</w:t>
            </w:r>
          </w:p>
        </w:tc>
        <w:tc>
          <w:tcPr>
            <w:tcW w:w="1984" w:type="dxa"/>
            <w:tcBorders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ОК 1 - ОК 6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ОП.00</w:t>
            </w:r>
          </w:p>
        </w:tc>
      </w:tr>
      <w:tr w:rsidR="00206BE1" w:rsidTr="00206BE1">
        <w:tblPrEx>
          <w:tblBorders>
            <w:insideH w:val="nil"/>
          </w:tblBorders>
        </w:tblPrEx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1.1 - ПК 1.9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</w:tr>
      <w:tr w:rsidR="00206BE1" w:rsidTr="00206BE1">
        <w:tblPrEx>
          <w:tblBorders>
            <w:insideH w:val="nil"/>
          </w:tblBorders>
        </w:tblPrEx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2.1 - 2.4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ПМ.02</w:t>
            </w:r>
          </w:p>
        </w:tc>
      </w:tr>
      <w:tr w:rsidR="00206BE1" w:rsidTr="00206BE1">
        <w:trPr>
          <w:gridAfter w:val="1"/>
          <w:wAfter w:w="24" w:type="dxa"/>
        </w:trPr>
        <w:tc>
          <w:tcPr>
            <w:tcW w:w="704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vMerge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06BE1" w:rsidRPr="00206BE1" w:rsidRDefault="00206BE1" w:rsidP="00206BE1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ПК 5.1 - 5.3</w:t>
            </w:r>
          </w:p>
        </w:tc>
        <w:tc>
          <w:tcPr>
            <w:tcW w:w="1871" w:type="dxa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BE1">
              <w:rPr>
                <w:rFonts w:ascii="Times New Roman" w:hAnsi="Times New Roman" w:cs="Times New Roman"/>
                <w:sz w:val="28"/>
                <w:szCs w:val="28"/>
              </w:rPr>
              <w:t xml:space="preserve">ПМ.05 </w:t>
            </w:r>
            <w:hyperlink w:anchor="P578">
              <w:r w:rsidRPr="00206BE1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206BE1" w:rsidTr="00206BE1">
        <w:tc>
          <w:tcPr>
            <w:tcW w:w="9289" w:type="dxa"/>
            <w:gridSpan w:val="5"/>
          </w:tcPr>
          <w:p w:rsidR="00206BE1" w:rsidRPr="00206BE1" w:rsidRDefault="00206BE1" w:rsidP="00206B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78"/>
            <w:bookmarkEnd w:id="3"/>
            <w:r w:rsidRPr="00206BE1">
              <w:rPr>
                <w:rFonts w:ascii="Times New Roman" w:hAnsi="Times New Roman" w:cs="Times New Roman"/>
                <w:sz w:val="28"/>
                <w:szCs w:val="28"/>
              </w:rPr>
              <w:t>&lt;*&gt; Проводятся в рамках вариативной части и направлена на расширение видов деятельности.</w:t>
            </w:r>
          </w:p>
        </w:tc>
      </w:tr>
    </w:tbl>
    <w:p w:rsidR="00BE3824" w:rsidRDefault="00BE3824" w:rsidP="00BE382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3824" w:rsidRPr="00817A77" w:rsidRDefault="00BE3824" w:rsidP="00BE382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Вариативная часть представлена в виде:</w:t>
      </w:r>
    </w:p>
    <w:tbl>
      <w:tblPr>
        <w:tblStyle w:val="a4"/>
        <w:tblW w:w="10111" w:type="dxa"/>
        <w:tblLook w:val="04A0" w:firstRow="1" w:lastRow="0" w:firstColumn="1" w:lastColumn="0" w:noHBand="0" w:noVBand="1"/>
      </w:tblPr>
      <w:tblGrid>
        <w:gridCol w:w="1576"/>
        <w:gridCol w:w="7128"/>
        <w:gridCol w:w="1407"/>
      </w:tblGrid>
      <w:tr w:rsidR="00BE3824" w:rsidRPr="00817A77" w:rsidTr="009F5AE8">
        <w:trPr>
          <w:trHeight w:val="706"/>
        </w:trPr>
        <w:tc>
          <w:tcPr>
            <w:tcW w:w="1576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7128" w:type="dxa"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циклов, разделов,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дисциплин, профессиональных модулей, МДК, практик</w:t>
            </w:r>
          </w:p>
        </w:tc>
        <w:tc>
          <w:tcPr>
            <w:tcW w:w="1407" w:type="dxa"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Вар. часть</w:t>
            </w:r>
          </w:p>
        </w:tc>
      </w:tr>
      <w:tr w:rsidR="00BE3824" w:rsidRPr="00817A77" w:rsidTr="009F5AE8">
        <w:trPr>
          <w:trHeight w:val="225"/>
        </w:trPr>
        <w:tc>
          <w:tcPr>
            <w:tcW w:w="1576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7128" w:type="dxa"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407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3824" w:rsidRPr="00817A77" w:rsidTr="009F5AE8">
        <w:trPr>
          <w:trHeight w:val="225"/>
        </w:trPr>
        <w:tc>
          <w:tcPr>
            <w:tcW w:w="1576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7128" w:type="dxa"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Общепрофессиональный цикл </w:t>
            </w:r>
          </w:p>
        </w:tc>
        <w:tc>
          <w:tcPr>
            <w:tcW w:w="1407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352</w:t>
            </w:r>
          </w:p>
        </w:tc>
      </w:tr>
      <w:tr w:rsidR="00BE3824" w:rsidRPr="00817A77" w:rsidTr="009F5AE8">
        <w:trPr>
          <w:trHeight w:val="210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Основы инженерной графики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BE3824" w:rsidRPr="00817A77" w:rsidTr="009F5AE8">
        <w:trPr>
          <w:trHeight w:val="420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Основы электротехники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BE3824" w:rsidRPr="00817A77" w:rsidTr="009F5AE8">
        <w:trPr>
          <w:trHeight w:val="210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Основы материаловедения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BE3824" w:rsidRPr="00817A77" w:rsidTr="009F5AE8">
        <w:trPr>
          <w:trHeight w:val="210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Допуски и технические измерения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</w:tr>
      <w:tr w:rsidR="00BE3824" w:rsidRPr="00817A77" w:rsidTr="009F5AE8">
        <w:trPr>
          <w:trHeight w:val="210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Основы экономики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BE3824" w:rsidRPr="00817A77" w:rsidTr="009F5AE8">
        <w:trPr>
          <w:trHeight w:val="225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BE3824" w:rsidRPr="00817A77" w:rsidTr="009F5AE8">
        <w:trPr>
          <w:trHeight w:val="225"/>
        </w:trPr>
        <w:tc>
          <w:tcPr>
            <w:tcW w:w="1576" w:type="dxa"/>
            <w:noWrap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7128" w:type="dxa"/>
            <w:vAlign w:val="center"/>
          </w:tcPr>
          <w:p w:rsidR="00BE3824" w:rsidRPr="00BE3824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3824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  <w:tc>
          <w:tcPr>
            <w:tcW w:w="1407" w:type="dxa"/>
            <w:noWrap/>
          </w:tcPr>
          <w:p w:rsidR="00BE3824" w:rsidRPr="00817A77" w:rsidRDefault="00BE3824" w:rsidP="00BE382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BE3824" w:rsidRPr="00817A77" w:rsidTr="009F5AE8">
        <w:trPr>
          <w:trHeight w:val="225"/>
        </w:trPr>
        <w:tc>
          <w:tcPr>
            <w:tcW w:w="1576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ПЦ</w:t>
            </w:r>
          </w:p>
        </w:tc>
        <w:tc>
          <w:tcPr>
            <w:tcW w:w="7128" w:type="dxa"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</w:tc>
        <w:tc>
          <w:tcPr>
            <w:tcW w:w="1407" w:type="dxa"/>
            <w:noWrap/>
            <w:hideMark/>
          </w:tcPr>
          <w:p w:rsidR="00BE3824" w:rsidRPr="00817A77" w:rsidRDefault="009F5AE8" w:rsidP="008A37BB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9F5AE8" w:rsidRPr="00817A77" w:rsidTr="009F5AE8">
        <w:trPr>
          <w:trHeight w:val="435"/>
        </w:trPr>
        <w:tc>
          <w:tcPr>
            <w:tcW w:w="1576" w:type="dxa"/>
            <w:noWrap/>
            <w:vAlign w:val="center"/>
          </w:tcPr>
          <w:p w:rsidR="009F5AE8" w:rsidRPr="009F5AE8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5A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7128" w:type="dxa"/>
            <w:vAlign w:val="center"/>
          </w:tcPr>
          <w:p w:rsidR="009F5AE8" w:rsidRPr="009F5AE8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5A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Подготовительно-сварочные работы и контроль качества сварных швов после сварки</w:t>
            </w:r>
          </w:p>
        </w:tc>
        <w:tc>
          <w:tcPr>
            <w:tcW w:w="1407" w:type="dxa"/>
            <w:noWrap/>
            <w:hideMark/>
          </w:tcPr>
          <w:p w:rsidR="009F5AE8" w:rsidRPr="00817A77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F5AE8" w:rsidRPr="00817A77" w:rsidTr="009F5AE8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9F5AE8" w:rsidRPr="009F5AE8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5A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7128" w:type="dxa"/>
            <w:vAlign w:val="center"/>
            <w:hideMark/>
          </w:tcPr>
          <w:p w:rsidR="009F5AE8" w:rsidRPr="009F5AE8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5A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Техника и технология ручной дуговой сварки (наплавки, резки) покрытыми электродами</w:t>
            </w:r>
          </w:p>
        </w:tc>
        <w:tc>
          <w:tcPr>
            <w:tcW w:w="1407" w:type="dxa"/>
            <w:noWrap/>
            <w:hideMark/>
          </w:tcPr>
          <w:p w:rsidR="009F5AE8" w:rsidRPr="00817A77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BE3824" w:rsidRPr="00817A77" w:rsidTr="009F5AE8">
        <w:trPr>
          <w:trHeight w:val="630"/>
        </w:trPr>
        <w:tc>
          <w:tcPr>
            <w:tcW w:w="1576" w:type="dxa"/>
            <w:noWrap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7128" w:type="dxa"/>
            <w:hideMark/>
          </w:tcPr>
          <w:p w:rsidR="00BE3824" w:rsidRPr="00817A77" w:rsidRDefault="00BE3824" w:rsidP="008A37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Учебная практика </w:t>
            </w:r>
          </w:p>
        </w:tc>
        <w:tc>
          <w:tcPr>
            <w:tcW w:w="1407" w:type="dxa"/>
            <w:noWrap/>
            <w:hideMark/>
          </w:tcPr>
          <w:p w:rsidR="00BE3824" w:rsidRPr="00817A77" w:rsidRDefault="009F5AE8" w:rsidP="008A37B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9F5AE8" w:rsidRPr="00817A77" w:rsidTr="009F5AE8">
        <w:trPr>
          <w:trHeight w:val="645"/>
        </w:trPr>
        <w:tc>
          <w:tcPr>
            <w:tcW w:w="1576" w:type="dxa"/>
            <w:noWrap/>
            <w:vAlign w:val="center"/>
            <w:hideMark/>
          </w:tcPr>
          <w:p w:rsidR="009F5AE8" w:rsidRPr="009F5AE8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5A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ПМ.04</w:t>
            </w:r>
          </w:p>
        </w:tc>
        <w:tc>
          <w:tcPr>
            <w:tcW w:w="7128" w:type="dxa"/>
            <w:vAlign w:val="center"/>
            <w:hideMark/>
          </w:tcPr>
          <w:p w:rsidR="009F5AE8" w:rsidRPr="009F5AE8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5A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Частично механизированная сварка (наплавка) плавлением</w:t>
            </w:r>
          </w:p>
        </w:tc>
        <w:tc>
          <w:tcPr>
            <w:tcW w:w="1407" w:type="dxa"/>
            <w:noWrap/>
            <w:hideMark/>
          </w:tcPr>
          <w:p w:rsidR="009F5AE8" w:rsidRPr="00817A77" w:rsidRDefault="009F5AE8" w:rsidP="009F5A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9B4FF8" w:rsidRDefault="009B4FF8" w:rsidP="00C848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7F8" w:rsidRDefault="002C57F8" w:rsidP="002C57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109940794"/>
      <w:r w:rsidRPr="00817A77">
        <w:rPr>
          <w:rFonts w:ascii="Times New Roman" w:hAnsi="Times New Roman"/>
          <w:color w:val="000000"/>
          <w:sz w:val="28"/>
          <w:szCs w:val="28"/>
        </w:rPr>
        <w:t>При освоении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F7737C" w:rsidRPr="00817A77" w:rsidRDefault="00F7737C" w:rsidP="00F77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аттестации составляет </w:t>
      </w:r>
      <w:r>
        <w:rPr>
          <w:rFonts w:ascii="Times New Roman" w:hAnsi="Times New Roman" w:cs="Times New Roman"/>
          <w:sz w:val="28"/>
          <w:szCs w:val="28"/>
        </w:rPr>
        <w:t>80,02</w:t>
      </w:r>
      <w:r w:rsidRPr="00817A77">
        <w:rPr>
          <w:rFonts w:ascii="Times New Roman" w:hAnsi="Times New Roman" w:cs="Times New Roman"/>
          <w:sz w:val="28"/>
          <w:szCs w:val="28"/>
        </w:rPr>
        <w:t xml:space="preserve">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F7737C" w:rsidRDefault="00F7737C" w:rsidP="00F773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образовательной программы объемом </w:t>
      </w:r>
      <w:r>
        <w:rPr>
          <w:rFonts w:ascii="Times New Roman" w:hAnsi="Times New Roman" w:cs="Times New Roman"/>
          <w:sz w:val="28"/>
          <w:szCs w:val="28"/>
        </w:rPr>
        <w:t xml:space="preserve">19,98 </w:t>
      </w:r>
      <w:r w:rsidRPr="00817A77">
        <w:rPr>
          <w:rFonts w:ascii="Times New Roman" w:hAnsi="Times New Roman" w:cs="Times New Roman"/>
          <w:sz w:val="28"/>
          <w:szCs w:val="28"/>
        </w:rPr>
        <w:t>процентов от общего объема времени, отведенного на освоение образовательной программы, использована для развития общих и профессиональных компетенций</w:t>
      </w:r>
    </w:p>
    <w:p w:rsidR="002C57F8" w:rsidRPr="00817A77" w:rsidRDefault="002C57F8" w:rsidP="002C57F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программы предусматривает изучение следующих дисциплин: </w:t>
      </w:r>
    </w:p>
    <w:bookmarkEnd w:id="4"/>
    <w:p w:rsidR="002C57F8" w:rsidRP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Основы инженерной графики</w:t>
      </w:r>
    </w:p>
    <w:p w:rsidR="002C57F8" w:rsidRP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Основы электротехники</w:t>
      </w:r>
    </w:p>
    <w:p w:rsidR="002C57F8" w:rsidRP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Основы материаловедения</w:t>
      </w:r>
    </w:p>
    <w:p w:rsidR="002C57F8" w:rsidRP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Допуски и технические измерения</w:t>
      </w:r>
    </w:p>
    <w:p w:rsidR="002C57F8" w:rsidRP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Основы 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(включая модули: Основы финансовой грамотности и Основы предпринимательской деятельности)</w:t>
      </w:r>
    </w:p>
    <w:p w:rsidR="002C57F8" w:rsidRP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</w:t>
      </w:r>
    </w:p>
    <w:p w:rsidR="002C57F8" w:rsidRDefault="002C57F8" w:rsidP="002C57F8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7F8">
        <w:rPr>
          <w:rFonts w:ascii="Times New Roman" w:hAnsi="Times New Roman" w:cs="Times New Roman"/>
          <w:color w:val="000000"/>
          <w:sz w:val="28"/>
          <w:szCs w:val="28"/>
        </w:rPr>
        <w:t>Экологические основы природопользования</w:t>
      </w:r>
    </w:p>
    <w:p w:rsidR="00D0497C" w:rsidRDefault="00D0497C" w:rsidP="00D049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_Hlk109940871"/>
      <w:r w:rsidRPr="00D0497C">
        <w:rPr>
          <w:rFonts w:ascii="Times New Roman" w:hAnsi="Times New Roman"/>
          <w:color w:val="000000"/>
          <w:sz w:val="28"/>
          <w:szCs w:val="28"/>
        </w:rPr>
        <w:t>Профессиональный цикл образовательной программы включает профессиональные модули, сформированные  в соответствии с видами деятельности: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4784"/>
      </w:tblGrid>
      <w:tr w:rsidR="00D2471A" w:rsidRPr="00817A77" w:rsidTr="00D2471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817A77" w:rsidRDefault="00D2471A" w:rsidP="008A3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6" w:name="_Hlk109940909"/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Вид деятельности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817A77" w:rsidRDefault="00D2471A" w:rsidP="008A3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</w:tr>
      <w:tr w:rsidR="00D2471A" w:rsidRPr="00817A77" w:rsidTr="00D2471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817A77" w:rsidRDefault="00D2471A" w:rsidP="008A37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1A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D2471A" w:rsidRDefault="00D2471A" w:rsidP="008A37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47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D247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Подготовительно-сварочные работы и контроль качества сварных швов после сварки</w:t>
            </w:r>
          </w:p>
        </w:tc>
      </w:tr>
      <w:tr w:rsidR="00D2471A" w:rsidRPr="00817A77" w:rsidTr="00D2471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817A77" w:rsidRDefault="00D2471A" w:rsidP="008A37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1A">
              <w:rPr>
                <w:rFonts w:ascii="Times New Roman" w:hAnsi="Times New Roman"/>
                <w:color w:val="000000"/>
                <w:sz w:val="28"/>
                <w:szCs w:val="28"/>
              </w:rPr>
              <w:t>Ручная дуговая сварка (наплавка, резка) плавящимся покрытым электродом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817A77" w:rsidRDefault="00D2471A" w:rsidP="008A37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D247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Ручная дуговая сварка (наплавка, резка) плавящимся покрытым электродом</w:t>
            </w:r>
          </w:p>
        </w:tc>
      </w:tr>
      <w:tr w:rsidR="00D2471A" w:rsidRPr="00817A77" w:rsidTr="00D2471A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D2471A" w:rsidRDefault="00D2471A" w:rsidP="00D247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1A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частично механизированную наплавку различных деталей.</w:t>
            </w:r>
          </w:p>
          <w:p w:rsidR="00D2471A" w:rsidRPr="00817A77" w:rsidRDefault="00D2471A" w:rsidP="008A37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A" w:rsidRPr="00817A77" w:rsidRDefault="00D2471A" w:rsidP="008A37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7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 04. Частично механизированная сварка (наплавка) плавлением</w:t>
            </w:r>
          </w:p>
        </w:tc>
      </w:tr>
      <w:bookmarkEnd w:id="6"/>
    </w:tbl>
    <w:p w:rsidR="00D0497C" w:rsidRPr="00D0497C" w:rsidRDefault="00D0497C" w:rsidP="00D049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27C3" w:rsidRPr="00817A77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_Hlk109941040"/>
      <w:bookmarkEnd w:id="5"/>
      <w:r w:rsidRPr="00817A77">
        <w:rPr>
          <w:rFonts w:ascii="Times New Roman" w:hAnsi="Times New Roman"/>
          <w:color w:val="000000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определенной учебным планом.</w:t>
      </w:r>
    </w:p>
    <w:p w:rsidR="005A27C3" w:rsidRPr="00817A77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качестве форм промежуточной аттестации использованы:</w:t>
      </w:r>
    </w:p>
    <w:p w:rsidR="005A27C3" w:rsidRPr="00817A77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Экзамены (в т.ч. комплексные)</w:t>
      </w:r>
    </w:p>
    <w:p w:rsidR="005A27C3" w:rsidRPr="00817A77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Зачеты</w:t>
      </w:r>
    </w:p>
    <w:p w:rsidR="005A27C3" w:rsidRPr="00817A77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Дифференцированные зачеты (в т.ч. Комплексные)</w:t>
      </w:r>
    </w:p>
    <w:p w:rsidR="005A27C3" w:rsidRPr="00817A77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Итоговая контрольная работа.</w:t>
      </w:r>
    </w:p>
    <w:p w:rsidR="005A27C3" w:rsidRDefault="005A27C3" w:rsidP="005A2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ar125"/>
      <w:bookmarkEnd w:id="7"/>
      <w:bookmarkEnd w:id="8"/>
      <w:r w:rsidRPr="005A27C3">
        <w:rPr>
          <w:rFonts w:ascii="Times New Roman" w:hAnsi="Times New Roman"/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экзамена.</w:t>
      </w:r>
      <w:r w:rsidR="00E10B5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10B5A" w:rsidRPr="00E10B5A">
        <w:rPr>
          <w:rFonts w:ascii="Times New Roman" w:hAnsi="Times New Roman"/>
          <w:color w:val="000000"/>
          <w:sz w:val="28"/>
          <w:szCs w:val="28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образования)</w:t>
      </w:r>
      <w:r w:rsidR="00E10B5A">
        <w:rPr>
          <w:rFonts w:ascii="Times New Roman" w:hAnsi="Times New Roman"/>
          <w:color w:val="000000"/>
          <w:sz w:val="28"/>
          <w:szCs w:val="28"/>
        </w:rPr>
        <w:t>.</w:t>
      </w:r>
    </w:p>
    <w:p w:rsidR="00463D1F" w:rsidRPr="00817A77" w:rsidRDefault="00463D1F" w:rsidP="00463D1F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D1F" w:rsidRPr="00817A77" w:rsidRDefault="00463D1F" w:rsidP="00463D1F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часов. Из них на реализацию общеобразовательного цикла учебным планом отведено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часа. 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lastRenderedPageBreak/>
        <w:t xml:space="preserve">В соответствии с требованиями ФГОС СОО и с учетом рекомендаций Письма Минобнауки РФ в качестве профиля получаемого образования выбран технологический профиль. </w:t>
      </w:r>
    </w:p>
    <w:p w:rsidR="00463D1F" w:rsidRDefault="00463D1F" w:rsidP="00463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Общеобразовательный цикл учебного плана предусматривает изучение обязательных учебных предметов: </w:t>
      </w:r>
    </w:p>
    <w:p w:rsidR="00463D1F" w:rsidRPr="00817A77" w:rsidRDefault="00463D1F" w:rsidP="00463D1F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D1F" w:rsidRPr="00817A77" w:rsidRDefault="00463D1F" w:rsidP="00463D1F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Hlk134689073"/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463D1F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17A77">
        <w:rPr>
          <w:rFonts w:ascii="Times New Roman" w:hAnsi="Times New Roman"/>
          <w:bCs/>
          <w:sz w:val="28"/>
          <w:szCs w:val="28"/>
        </w:rPr>
        <w:t xml:space="preserve"> </w:t>
      </w:r>
      <w:r w:rsidRPr="00463D1F">
        <w:rPr>
          <w:rFonts w:ascii="Times New Roman" w:hAnsi="Times New Roman"/>
          <w:bCs/>
          <w:sz w:val="28"/>
          <w:szCs w:val="28"/>
        </w:rPr>
        <w:t>которые полностью соответствуют требованию ФГОС СОО об обязательной части.</w:t>
      </w:r>
      <w:r w:rsidRPr="00817A77">
        <w:rPr>
          <w:rFonts w:ascii="Times New Roman" w:hAnsi="Times New Roman"/>
          <w:bCs/>
          <w:sz w:val="28"/>
          <w:szCs w:val="28"/>
        </w:rPr>
        <w:t xml:space="preserve">Из них на реализацию общеобразовательного цикла учебным планом отведено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63D1F" w:rsidRPr="00817A77" w:rsidRDefault="00463D1F" w:rsidP="00463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ФГОС СОО и с учетом рекомендаций Письма Минобнауки РФ в качестве профиля получаемого образования выбран технологический профиль. </w:t>
      </w:r>
    </w:p>
    <w:p w:rsidR="00463D1F" w:rsidRPr="00FD16F8" w:rsidRDefault="00FD16F8" w:rsidP="00FD16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6F8">
        <w:rPr>
          <w:rFonts w:ascii="Times New Roman" w:hAnsi="Times New Roman"/>
          <w:bCs/>
          <w:sz w:val="28"/>
          <w:szCs w:val="28"/>
        </w:rPr>
        <w:t xml:space="preserve">Учебный план среднего общего образования предусматривает обязательное изучение следующих учебных предметов на базовом или </w:t>
      </w:r>
      <w:r w:rsidR="00463D1F" w:rsidRPr="00FD16F8">
        <w:rPr>
          <w:rFonts w:ascii="Times New Roman" w:hAnsi="Times New Roman"/>
          <w:sz w:val="28"/>
          <w:szCs w:val="28"/>
        </w:rPr>
        <w:t>базовом расширенном уровне</w:t>
      </w:r>
      <w:r>
        <w:rPr>
          <w:rFonts w:ascii="Times New Roman" w:hAnsi="Times New Roman"/>
          <w:sz w:val="28"/>
          <w:szCs w:val="28"/>
        </w:rPr>
        <w:t>.</w:t>
      </w:r>
    </w:p>
    <w:p w:rsidR="00463D1F" w:rsidRPr="00817A77" w:rsidRDefault="00463D1F" w:rsidP="00463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</w:t>
      </w:r>
      <w:r w:rsidRPr="00FD16F8">
        <w:rPr>
          <w:rFonts w:ascii="Times New Roman" w:hAnsi="Times New Roman" w:cs="Times New Roman"/>
          <w:bCs/>
          <w:sz w:val="28"/>
          <w:szCs w:val="28"/>
        </w:rPr>
        <w:t>1</w:t>
      </w:r>
      <w:r w:rsidR="00CF66BB" w:rsidRPr="00FD16F8">
        <w:rPr>
          <w:rFonts w:ascii="Times New Roman" w:hAnsi="Times New Roman" w:cs="Times New Roman"/>
          <w:bCs/>
          <w:sz w:val="28"/>
          <w:szCs w:val="28"/>
        </w:rPr>
        <w:t>3</w:t>
      </w:r>
      <w:r w:rsidRPr="00FD1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274E" w:rsidRPr="00FD16F8">
        <w:rPr>
          <w:rFonts w:ascii="Times New Roman" w:hAnsi="Times New Roman" w:cs="Times New Roman"/>
          <w:bCs/>
          <w:sz w:val="28"/>
          <w:szCs w:val="28"/>
        </w:rPr>
        <w:t xml:space="preserve">обязательных </w:t>
      </w:r>
      <w:r w:rsidRPr="00FD16F8">
        <w:rPr>
          <w:rFonts w:ascii="Times New Roman" w:hAnsi="Times New Roman" w:cs="Times New Roman"/>
          <w:bCs/>
          <w:sz w:val="28"/>
          <w:szCs w:val="28"/>
        </w:rPr>
        <w:t>учебных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предметов</w:t>
      </w:r>
      <w:r w:rsidRPr="00817A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Литература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Информатика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Химия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Биология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История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География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BB" w:rsidRDefault="00416B14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</w:t>
      </w:r>
      <w:r w:rsidR="00CF66BB">
        <w:rPr>
          <w:rFonts w:ascii="Times New Roman" w:hAnsi="Times New Roman" w:cs="Times New Roman"/>
          <w:sz w:val="28"/>
          <w:szCs w:val="28"/>
        </w:rPr>
        <w:t xml:space="preserve"> изучающие на базовом расширенном уровне: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Математика</w:t>
      </w:r>
    </w:p>
    <w:p w:rsid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Физика</w:t>
      </w:r>
    </w:p>
    <w:p w:rsidR="00416B14" w:rsidRDefault="00416B14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6BB" w:rsidRPr="00FD16F8" w:rsidRDefault="00416B14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lastRenderedPageBreak/>
        <w:t>Учебные предметы,</w:t>
      </w:r>
      <w:r w:rsidR="00CF66BB" w:rsidRPr="00FD16F8">
        <w:rPr>
          <w:rFonts w:ascii="Times New Roman" w:hAnsi="Times New Roman" w:cs="Times New Roman"/>
          <w:sz w:val="28"/>
          <w:szCs w:val="28"/>
        </w:rPr>
        <w:t xml:space="preserve"> предлагаемые образовательной организацией: </w:t>
      </w:r>
    </w:p>
    <w:p w:rsidR="00CF66BB" w:rsidRPr="00FD16F8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CF66BB" w:rsidRPr="00FD16F8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</w:p>
    <w:p w:rsidR="00CF66BB" w:rsidRPr="00CF66BB" w:rsidRDefault="00CF66BB" w:rsidP="00CF6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6D6995" w:rsidRPr="00817A77" w:rsidRDefault="006D6995" w:rsidP="006D6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 рамках освоения общеобразовательного цикла выполнение обучающимися 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проекта в течение 1 года 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курсе обучения.</w:t>
      </w:r>
    </w:p>
    <w:bookmarkEnd w:id="9"/>
    <w:p w:rsidR="00D0497C" w:rsidRPr="002C57F8" w:rsidRDefault="00D0497C" w:rsidP="00D0497C">
      <w:pPr>
        <w:pStyle w:val="ConsPlusNorma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7F8" w:rsidRPr="00C84866" w:rsidRDefault="002C57F8" w:rsidP="002C57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C57F8" w:rsidRPr="00C8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FA0"/>
    <w:multiLevelType w:val="hybridMultilevel"/>
    <w:tmpl w:val="A734055E"/>
    <w:lvl w:ilvl="0" w:tplc="9B9E655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A81737"/>
    <w:multiLevelType w:val="hybridMultilevel"/>
    <w:tmpl w:val="77C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0FB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505E"/>
    <w:multiLevelType w:val="hybridMultilevel"/>
    <w:tmpl w:val="DE980358"/>
    <w:lvl w:ilvl="0" w:tplc="21E25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8B7B16"/>
    <w:multiLevelType w:val="hybridMultilevel"/>
    <w:tmpl w:val="7AA2F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E53926"/>
    <w:multiLevelType w:val="hybridMultilevel"/>
    <w:tmpl w:val="FFFFFFFF"/>
    <w:lvl w:ilvl="0" w:tplc="C6069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81B4D"/>
    <w:multiLevelType w:val="hybridMultilevel"/>
    <w:tmpl w:val="FFFFFFFF"/>
    <w:lvl w:ilvl="0" w:tplc="2716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46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0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4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24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E2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8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2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F20834"/>
    <w:multiLevelType w:val="hybridMultilevel"/>
    <w:tmpl w:val="4CD6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26155">
    <w:abstractNumId w:val="5"/>
  </w:num>
  <w:num w:numId="2" w16cid:durableId="927887666">
    <w:abstractNumId w:val="7"/>
  </w:num>
  <w:num w:numId="3" w16cid:durableId="1988782021">
    <w:abstractNumId w:val="3"/>
  </w:num>
  <w:num w:numId="4" w16cid:durableId="1087966500">
    <w:abstractNumId w:val="0"/>
  </w:num>
  <w:num w:numId="5" w16cid:durableId="33502162">
    <w:abstractNumId w:val="2"/>
  </w:num>
  <w:num w:numId="6" w16cid:durableId="1724792724">
    <w:abstractNumId w:val="4"/>
  </w:num>
  <w:num w:numId="7" w16cid:durableId="46613350">
    <w:abstractNumId w:val="6"/>
  </w:num>
  <w:num w:numId="8" w16cid:durableId="32482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7A"/>
    <w:rsid w:val="0007274E"/>
    <w:rsid w:val="0008632A"/>
    <w:rsid w:val="000B3D8C"/>
    <w:rsid w:val="000E3857"/>
    <w:rsid w:val="00145C35"/>
    <w:rsid w:val="0016720F"/>
    <w:rsid w:val="001B14C4"/>
    <w:rsid w:val="001C503C"/>
    <w:rsid w:val="00206BE1"/>
    <w:rsid w:val="00260C15"/>
    <w:rsid w:val="002C57F8"/>
    <w:rsid w:val="003F3343"/>
    <w:rsid w:val="00416B14"/>
    <w:rsid w:val="00463D1F"/>
    <w:rsid w:val="0053096A"/>
    <w:rsid w:val="00572923"/>
    <w:rsid w:val="005A27C3"/>
    <w:rsid w:val="005B7B50"/>
    <w:rsid w:val="005F3D41"/>
    <w:rsid w:val="00681FBC"/>
    <w:rsid w:val="006A7697"/>
    <w:rsid w:val="006D6995"/>
    <w:rsid w:val="00721BB3"/>
    <w:rsid w:val="00747B7A"/>
    <w:rsid w:val="008F077F"/>
    <w:rsid w:val="00904A43"/>
    <w:rsid w:val="009767AF"/>
    <w:rsid w:val="009B4FF8"/>
    <w:rsid w:val="009E2FC6"/>
    <w:rsid w:val="009F5AE8"/>
    <w:rsid w:val="00AD2E74"/>
    <w:rsid w:val="00B16BED"/>
    <w:rsid w:val="00B871AF"/>
    <w:rsid w:val="00BE3824"/>
    <w:rsid w:val="00C030EA"/>
    <w:rsid w:val="00C80150"/>
    <w:rsid w:val="00C84866"/>
    <w:rsid w:val="00CF66BB"/>
    <w:rsid w:val="00D0497C"/>
    <w:rsid w:val="00D2471A"/>
    <w:rsid w:val="00D76921"/>
    <w:rsid w:val="00E10B5A"/>
    <w:rsid w:val="00E24140"/>
    <w:rsid w:val="00E928C5"/>
    <w:rsid w:val="00F7737C"/>
    <w:rsid w:val="00FD16F8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09D6"/>
  <w15:chartTrackingRefBased/>
  <w15:docId w15:val="{8B134010-908D-412E-948B-D3DC739D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7A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C80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4A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paragraph" w:customStyle="1" w:styleId="ConsPlusNormal">
    <w:name w:val="ConsPlusNormal"/>
    <w:rsid w:val="00904A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character" w:customStyle="1" w:styleId="doccaption">
    <w:name w:val="doccaption"/>
    <w:basedOn w:val="a0"/>
    <w:rsid w:val="0008632A"/>
  </w:style>
  <w:style w:type="character" w:customStyle="1" w:styleId="10">
    <w:name w:val="Заголовок 1 Знак"/>
    <w:basedOn w:val="a0"/>
    <w:link w:val="1"/>
    <w:uiPriority w:val="9"/>
    <w:rsid w:val="00C80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80150"/>
    <w:pPr>
      <w:ind w:left="720"/>
      <w:contextualSpacing/>
    </w:pPr>
  </w:style>
  <w:style w:type="table" w:styleId="a4">
    <w:name w:val="Table Grid"/>
    <w:basedOn w:val="a1"/>
    <w:uiPriority w:val="39"/>
    <w:rsid w:val="00BE3824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6A7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95CCCD13CBA85AF337D38963DC021417B79D8E0AA356D2D8E12075D8EC9BF774F298A1E99BAC88B1B0FD6F0B52BCCB53AA46C58F090Aj0G9K" TargetMode="External"/><Relationship Id="rId13" Type="http://schemas.openxmlformats.org/officeDocument/2006/relationships/hyperlink" Target="consultantplus://offline/ref=31F795CCCD13CBA85AF337D38963DC021112B49A8E01A356D2D8E12075D8EC9BF774F298A1E99BAC88B1B0FD6F0B52BCCB53AA46C58F090Aj0G9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4C6A80CE07D860B438B8638FD128F66C9DD18DE9E22EA1E7DB62025D4E4AA72C06450C3584D1EE5932643BA34F6C9B83AC95E16D47A9ECaAT9L" TargetMode="External"/><Relationship Id="rId12" Type="http://schemas.openxmlformats.org/officeDocument/2006/relationships/hyperlink" Target="consultantplus://offline/ref=31F795CCCD13CBA85AF337D38963DC021617B09B8B00A356D2D8E12075D8EC9BF774F298A1E99BA88DB1B0FD6F0B52BCCB53AA46C58F090Aj0G9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4C6A80CE07D860B438B8638FD128F66C9DD18DE9E22EA1E7DB62025D4E4AA72C06450C3584D1E95E32643BA34F6C9B83AC95E16D47A9ECaAT9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4C6A80CE07D860B438B8638FD128F66B98DD83EFEC2EA1E7DB62025D4E4AA72C06450C3580D5EA5F32643BA34F6C9B83AC95E16D47A9ECaAT9L" TargetMode="External"/><Relationship Id="rId11" Type="http://schemas.openxmlformats.org/officeDocument/2006/relationships/hyperlink" Target="consultantplus://offline/ref=31F795CCCD13CBA85AF337D38963DC021617B09E8C07A356D2D8E12075D8EC9BF774F298A1E99BAC88B1B0FD6F0B52BCCB53AA46C58F090Aj0G9K" TargetMode="External"/><Relationship Id="rId5" Type="http://schemas.openxmlformats.org/officeDocument/2006/relationships/hyperlink" Target="consultantplus://offline/ref=734C6A80CE07D860B438B8638FD128F66A9FDC8EE2ED2EA1E7DB62025D4E4AA72C06450C3580D6E45E32643BA34F6C9B83AC95E16D47A9ECaAT9L" TargetMode="External"/><Relationship Id="rId15" Type="http://schemas.openxmlformats.org/officeDocument/2006/relationships/hyperlink" Target="consultantplus://offline/ref=734C6A80CE07D860B438B8638FD128F66C9DD18DE9E22EA1E7DB62025D4E4AA72C06450C3584D1E85D32643BA34F6C9B83AC95E16D47A9ECaAT9L" TargetMode="External"/><Relationship Id="rId10" Type="http://schemas.openxmlformats.org/officeDocument/2006/relationships/hyperlink" Target="consultantplus://offline/ref=31F795CCCD13CBA85AF337D38963DC021712B39F8D01A356D2D8E12075D8EC9BF774F298A1E99BAC88B1B0FD6F0B52BCCB53AA46C58F090Aj0G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795CCCD13CBA85AF337D38963DC021419B1978803A356D2D8E12075D8EC9BF774F298A1E99BAC88B1B0FD6F0B52BCCB53AA46C58F090Aj0G9K" TargetMode="External"/><Relationship Id="rId14" Type="http://schemas.openxmlformats.org/officeDocument/2006/relationships/hyperlink" Target="consultantplus://offline/ref=7F713C47D8A7F8C2CA019664766C811215C9B3B5EE75A015FB2A71C52A8A3490915311EBB66583B837F7B50889A7A95BD8245D33FC124265B4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3258</Words>
  <Characters>18574</Characters>
  <Application>Microsoft Office Word</Application>
  <DocSecurity>0</DocSecurity>
  <Lines>154</Lines>
  <Paragraphs>43</Paragraphs>
  <ScaleCrop>false</ScaleCrop>
  <Company>*</Company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Явтушенко</dc:creator>
  <cp:keywords/>
  <dc:description/>
  <cp:lastModifiedBy>Ирина Явтушенко</cp:lastModifiedBy>
  <cp:revision>49</cp:revision>
  <dcterms:created xsi:type="dcterms:W3CDTF">2023-04-24T03:01:00Z</dcterms:created>
  <dcterms:modified xsi:type="dcterms:W3CDTF">2023-05-12T10:32:00Z</dcterms:modified>
</cp:coreProperties>
</file>