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5F" w:rsidRDefault="0089525F"/>
    <w:p w:rsidR="0089525F" w:rsidRDefault="0089525F" w:rsidP="0089525F">
      <w:pPr>
        <w:spacing w:after="167" w:line="335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8B0202"/>
          <w:sz w:val="27"/>
          <w:szCs w:val="27"/>
          <w:lang w:eastAsia="ru-RU"/>
        </w:rPr>
      </w:pPr>
      <w:r w:rsidRPr="0089525F">
        <w:rPr>
          <w:rFonts w:ascii="Arial" w:eastAsia="Times New Roman" w:hAnsi="Arial" w:cs="Arial"/>
          <w:b/>
          <w:bCs/>
          <w:caps/>
          <w:color w:val="8B0202"/>
          <w:sz w:val="27"/>
          <w:szCs w:val="27"/>
          <w:lang w:eastAsia="ru-RU"/>
        </w:rPr>
        <w:t>О световозвращающих элементах</w:t>
      </w:r>
    </w:p>
    <w:p w:rsidR="0089525F" w:rsidRDefault="0089525F" w:rsidP="0089525F">
      <w:pPr>
        <w:spacing w:after="167" w:line="335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8B0202"/>
          <w:sz w:val="27"/>
          <w:szCs w:val="27"/>
          <w:lang w:eastAsia="ru-RU"/>
        </w:rPr>
      </w:pPr>
    </w:p>
    <w:p w:rsidR="00EB7003" w:rsidRPr="00EB7003" w:rsidRDefault="0089525F" w:rsidP="00EB7003">
      <w:pPr>
        <w:spacing w:after="167" w:line="335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1F497D" w:themeColor="text2"/>
          <w:sz w:val="27"/>
          <w:szCs w:val="27"/>
          <w:lang w:eastAsia="ru-RU"/>
        </w:rPr>
      </w:pPr>
      <w:r w:rsidRPr="00EB7003">
        <w:rPr>
          <w:rFonts w:ascii="Arial" w:eastAsia="Times New Roman" w:hAnsi="Arial" w:cs="Arial"/>
          <w:b/>
          <w:bCs/>
          <w:caps/>
          <w:color w:val="1F497D" w:themeColor="text2"/>
          <w:sz w:val="27"/>
          <w:szCs w:val="27"/>
          <w:lang w:eastAsia="ru-RU"/>
        </w:rPr>
        <w:t xml:space="preserve">ПОДРОБНЕЕ НА САЙТЕ </w:t>
      </w:r>
      <w:r w:rsidR="00EB7003">
        <w:rPr>
          <w:rFonts w:ascii="Arial" w:eastAsia="Times New Roman" w:hAnsi="Arial" w:cs="Arial"/>
          <w:b/>
          <w:bCs/>
          <w:caps/>
          <w:color w:val="1F497D" w:themeColor="text2"/>
          <w:sz w:val="27"/>
          <w:szCs w:val="27"/>
          <w:lang w:eastAsia="ru-RU"/>
        </w:rPr>
        <w:t>ГОСАВТОИНСПЕКЦИИ</w:t>
      </w:r>
    </w:p>
    <w:p w:rsidR="00EB7003" w:rsidRPr="00EB7003" w:rsidRDefault="00EB7003" w:rsidP="0089525F">
      <w:pPr>
        <w:spacing w:after="167" w:line="335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1F497D" w:themeColor="text2"/>
          <w:sz w:val="44"/>
          <w:szCs w:val="44"/>
          <w:u w:val="single"/>
          <w:lang w:eastAsia="ru-RU"/>
        </w:rPr>
      </w:pPr>
      <w:r w:rsidRPr="00EB7003">
        <w:rPr>
          <w:rFonts w:ascii="Arial" w:eastAsia="Times New Roman" w:hAnsi="Arial" w:cs="Arial"/>
          <w:b/>
          <w:color w:val="1F497D" w:themeColor="text2"/>
          <w:sz w:val="44"/>
          <w:szCs w:val="44"/>
          <w:u w:val="single"/>
          <w:lang w:eastAsia="ru-RU"/>
        </w:rPr>
        <w:t>http://www.gibdd.ru</w:t>
      </w:r>
    </w:p>
    <w:p w:rsidR="00EB7003" w:rsidRPr="0089525F" w:rsidRDefault="00EB7003" w:rsidP="0089525F">
      <w:pPr>
        <w:spacing w:after="167" w:line="335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8B0202"/>
          <w:sz w:val="27"/>
          <w:szCs w:val="27"/>
          <w:lang w:eastAsia="ru-RU"/>
        </w:rPr>
      </w:pPr>
    </w:p>
    <w:p w:rsidR="0089525F" w:rsidRP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eastAsia="Times New Roman" w:hAnsi="Arial" w:cs="Arial"/>
          <w:color w:val="1D1D1D"/>
          <w:sz w:val="23"/>
          <w:szCs w:val="23"/>
          <w:lang w:eastAsia="ru-RU"/>
        </w:rPr>
      </w:pPr>
      <w:proofErr w:type="spellStart"/>
      <w:r w:rsidRPr="0089525F">
        <w:rPr>
          <w:rFonts w:ascii="Arial" w:eastAsia="Times New Roman" w:hAnsi="Arial" w:cs="Arial"/>
          <w:color w:val="1D1D1D"/>
          <w:sz w:val="23"/>
          <w:szCs w:val="23"/>
          <w:lang w:eastAsia="ru-RU"/>
        </w:rPr>
        <w:t>Световозвращающие</w:t>
      </w:r>
      <w:proofErr w:type="spellEnd"/>
      <w:r w:rsidRPr="0089525F">
        <w:rPr>
          <w:rFonts w:ascii="Arial" w:eastAsia="Times New Roman" w:hAnsi="Arial" w:cs="Arial"/>
          <w:color w:val="1D1D1D"/>
          <w:sz w:val="23"/>
          <w:szCs w:val="23"/>
          <w:lang w:eastAsia="ru-RU"/>
        </w:rPr>
        <w:t xml:space="preserve"> элементы (</w:t>
      </w:r>
      <w:proofErr w:type="spellStart"/>
      <w:r w:rsidRPr="0089525F">
        <w:rPr>
          <w:rFonts w:ascii="Arial" w:eastAsia="Times New Roman" w:hAnsi="Arial" w:cs="Arial"/>
          <w:color w:val="1D1D1D"/>
          <w:sz w:val="23"/>
          <w:szCs w:val="23"/>
          <w:lang w:eastAsia="ru-RU"/>
        </w:rPr>
        <w:t>световозвращатели</w:t>
      </w:r>
      <w:proofErr w:type="spellEnd"/>
      <w:r w:rsidRPr="0089525F">
        <w:rPr>
          <w:rFonts w:ascii="Arial" w:eastAsia="Times New Roman" w:hAnsi="Arial" w:cs="Arial"/>
          <w:color w:val="1D1D1D"/>
          <w:sz w:val="23"/>
          <w:szCs w:val="23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  <w:r w:rsidR="00EB7003" w:rsidRPr="00EB7003">
        <w:t xml:space="preserve"> </w:t>
      </w:r>
    </w:p>
    <w:p w:rsidR="0089525F" w:rsidRDefault="0089525F" w:rsidP="0089525F">
      <w:pPr>
        <w:pStyle w:val="3"/>
        <w:spacing w:line="33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Предназначение </w:t>
      </w:r>
      <w:proofErr w:type="spellStart"/>
      <w:r>
        <w:rPr>
          <w:rFonts w:ascii="Arial" w:hAnsi="Arial" w:cs="Arial"/>
        </w:rPr>
        <w:t>световозвращающих</w:t>
      </w:r>
      <w:proofErr w:type="spellEnd"/>
      <w:r>
        <w:rPr>
          <w:rFonts w:ascii="Arial" w:hAnsi="Arial" w:cs="Arial"/>
        </w:rPr>
        <w:t xml:space="preserve"> элементов</w:t>
      </w:r>
    </w:p>
    <w:p w:rsid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Световозвращающие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89525F" w:rsidRDefault="0089525F" w:rsidP="0089525F">
      <w:pPr>
        <w:spacing w:after="0" w:line="335" w:lineRule="atLeast"/>
        <w:jc w:val="center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noProof/>
          <w:color w:val="1D1D1D"/>
          <w:sz w:val="23"/>
          <w:szCs w:val="23"/>
          <w:lang w:eastAsia="ru-RU"/>
        </w:rPr>
        <w:drawing>
          <wp:inline distT="0" distB="0" distL="0" distR="0">
            <wp:extent cx="2891423" cy="5103628"/>
            <wp:effectExtent l="19050" t="0" r="4177" b="0"/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28" cy="510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lastRenderedPageBreak/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световозвращатель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>
        <w:rPr>
          <w:rFonts w:ascii="Arial" w:hAnsi="Arial" w:cs="Arial"/>
          <w:color w:val="1D1D1D"/>
          <w:sz w:val="23"/>
          <w:szCs w:val="23"/>
        </w:rPr>
        <w:t>становится</w:t>
      </w:r>
      <w:proofErr w:type="gramEnd"/>
      <w:r>
        <w:rPr>
          <w:rFonts w:ascii="Arial" w:hAnsi="Arial" w:cs="Arial"/>
          <w:color w:val="1D1D1D"/>
          <w:sz w:val="23"/>
          <w:szCs w:val="23"/>
        </w:rPr>
        <w:t xml:space="preserve"> виден, с применением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световозвращателей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увеличивается со 100 метров до 350 метров. Это даёт водителю 15-25 секунд для принятия решения.</w:t>
      </w:r>
    </w:p>
    <w:p w:rsid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В соответствии с постановлением Правительства Российской Федерации от 14.11.2014 № 1197 </w:t>
      </w:r>
      <w:r w:rsidRPr="0089525F">
        <w:rPr>
          <w:rFonts w:ascii="Arial" w:hAnsi="Arial" w:cs="Arial"/>
          <w:b/>
          <w:color w:val="1D1D1D"/>
          <w:sz w:val="23"/>
          <w:szCs w:val="23"/>
        </w:rPr>
        <w:t>с 1 июля 2015 года</w:t>
      </w:r>
      <w:r>
        <w:rPr>
          <w:rFonts w:ascii="Arial" w:hAnsi="Arial" w:cs="Arial"/>
          <w:color w:val="1D1D1D"/>
          <w:sz w:val="23"/>
          <w:szCs w:val="23"/>
        </w:rPr>
        <w:t xml:space="preserve"> вступили в силу изменения в Правила дорожного движения Российской Федерации (далее – Правила).</w:t>
      </w:r>
    </w:p>
    <w:p w:rsidR="0089525F" w:rsidRPr="00EB7003" w:rsidRDefault="0089525F" w:rsidP="00EB7003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b/>
          <w:color w:val="1D1D1D"/>
          <w:sz w:val="23"/>
          <w:szCs w:val="23"/>
        </w:rPr>
      </w:pPr>
      <w:r w:rsidRPr="0089525F">
        <w:rPr>
          <w:rFonts w:ascii="Arial" w:hAnsi="Arial" w:cs="Arial"/>
          <w:b/>
          <w:color w:val="1D1D1D"/>
          <w:sz w:val="23"/>
          <w:szCs w:val="23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89525F">
        <w:rPr>
          <w:rFonts w:ascii="Arial" w:hAnsi="Arial" w:cs="Arial"/>
          <w:b/>
          <w:color w:val="1D1D1D"/>
          <w:sz w:val="23"/>
          <w:szCs w:val="23"/>
        </w:rPr>
        <w:t>световозвращающими</w:t>
      </w:r>
      <w:proofErr w:type="spellEnd"/>
      <w:r w:rsidRPr="0089525F">
        <w:rPr>
          <w:rFonts w:ascii="Arial" w:hAnsi="Arial" w:cs="Arial"/>
          <w:b/>
          <w:color w:val="1D1D1D"/>
          <w:sz w:val="23"/>
          <w:szCs w:val="23"/>
        </w:rPr>
        <w:t xml:space="preserve"> элементами и обеспечивать видимость этих предметов водителями транспортных средств.</w:t>
      </w:r>
    </w:p>
    <w:p w:rsidR="0089525F" w:rsidRDefault="0089525F" w:rsidP="0089525F">
      <w:pPr>
        <w:pStyle w:val="2"/>
        <w:spacing w:line="33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Примеры использования световозвращающих элементов</w:t>
      </w:r>
    </w:p>
    <w:p w:rsid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В настоящее время для обеспечения безопасности на дорогах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световозвращающие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материалы используются при изготовлении элементов в самых различных формах, которые делятся на две группы: съемные и несъемные.</w:t>
      </w:r>
    </w:p>
    <w:p w:rsidR="0089525F" w:rsidRDefault="0089525F" w:rsidP="0089525F">
      <w:pPr>
        <w:pStyle w:val="3"/>
        <w:spacing w:line="335" w:lineRule="atLeast"/>
        <w:jc w:val="center"/>
        <w:rPr>
          <w:rFonts w:ascii="Arial" w:hAnsi="Arial" w:cs="Arial"/>
          <w:color w:val="083A5D"/>
          <w:sz w:val="27"/>
          <w:szCs w:val="27"/>
        </w:rPr>
      </w:pPr>
      <w:r>
        <w:rPr>
          <w:rFonts w:ascii="Arial" w:hAnsi="Arial" w:cs="Arial"/>
        </w:rPr>
        <w:t xml:space="preserve">Съемные </w:t>
      </w:r>
      <w:proofErr w:type="spellStart"/>
      <w:r>
        <w:rPr>
          <w:rFonts w:ascii="Arial" w:hAnsi="Arial" w:cs="Arial"/>
        </w:rPr>
        <w:t>световозвращающие</w:t>
      </w:r>
      <w:proofErr w:type="spellEnd"/>
      <w:r>
        <w:rPr>
          <w:rFonts w:ascii="Arial" w:hAnsi="Arial" w:cs="Arial"/>
        </w:rPr>
        <w:t xml:space="preserve"> элементы</w:t>
      </w:r>
    </w:p>
    <w:p w:rsid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Съемные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световозвращающие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элементы на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ПВХ-основе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– это изделия, прикрепляемые к одежде, головному убору, надеваемые на какую-либо часть тела или предметы: сумки, рюкзаки, детские коляски, велосипеды, ролики и другое.</w:t>
      </w:r>
    </w:p>
    <w:p w:rsid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Их можно легко крепить и снимать. Размещать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световозвращатели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следует таким образом, чтобы при переходе или движении по проезжей части на них попадал свет фар автомобилей и тем самым привлекал внимание водителей.</w:t>
      </w:r>
    </w:p>
    <w:p w:rsid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Одними из наиболее востребованных съемных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световозвращающих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изделий являются навесные брелоки,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стикеры</w:t>
      </w:r>
      <w:proofErr w:type="spellEnd"/>
      <w:r>
        <w:rPr>
          <w:rFonts w:ascii="Arial" w:hAnsi="Arial" w:cs="Arial"/>
          <w:color w:val="1D1D1D"/>
          <w:sz w:val="23"/>
          <w:szCs w:val="23"/>
        </w:rPr>
        <w:t>, значки, браслеты, накладки на спицы колес велосипеда, жилеты.</w:t>
      </w:r>
    </w:p>
    <w:p w:rsidR="0089525F" w:rsidRDefault="0089525F" w:rsidP="0089525F">
      <w:pPr>
        <w:spacing w:after="0" w:line="335" w:lineRule="atLeast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noProof/>
          <w:color w:val="186EA8"/>
          <w:sz w:val="23"/>
          <w:szCs w:val="23"/>
          <w:lang w:eastAsia="ru-RU"/>
        </w:rPr>
        <w:drawing>
          <wp:inline distT="0" distB="0" distL="0" distR="0">
            <wp:extent cx="2651572" cy="1765005"/>
            <wp:effectExtent l="19050" t="0" r="0" b="0"/>
            <wp:docPr id="7" name="Рисунок 7" descr="http://www.gibdd.ru/mens/peshekhodam/reflector/examples/images/d2.jpg">
              <a:hlinkClick xmlns:a="http://schemas.openxmlformats.org/drawingml/2006/main" r:id="rId5" tooltip="&quot;Брело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ibdd.ru/mens/peshekhodam/reflector/examples/images/d2.jpg">
                      <a:hlinkClick r:id="rId5" tooltip="&quot;Брело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054" cy="176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86EA8"/>
          <w:sz w:val="23"/>
          <w:szCs w:val="23"/>
          <w:lang w:eastAsia="ru-RU"/>
        </w:rPr>
        <w:drawing>
          <wp:inline distT="0" distB="0" distL="0" distR="0">
            <wp:extent cx="2692938" cy="1679944"/>
            <wp:effectExtent l="19050" t="0" r="0" b="0"/>
            <wp:docPr id="10" name="Рисунок 10" descr="http://www.gibdd.ru/mens/peshekhodam/reflector/examples/images/d5.jpg">
              <a:hlinkClick xmlns:a="http://schemas.openxmlformats.org/drawingml/2006/main" r:id="rId7" tooltip="&quot;Жилет и нарукавни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ibdd.ru/mens/peshekhodam/reflector/examples/images/d5.jpg">
                      <a:hlinkClick r:id="rId7" tooltip="&quot;Жилет и нарукавни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27" cy="168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25F" w:rsidRDefault="0089525F" w:rsidP="0089525F">
      <w:pPr>
        <w:spacing w:after="0" w:line="335" w:lineRule="atLeast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noProof/>
          <w:color w:val="186EA8"/>
          <w:sz w:val="23"/>
          <w:szCs w:val="23"/>
          <w:lang w:eastAsia="ru-RU"/>
        </w:rPr>
        <w:lastRenderedPageBreak/>
        <w:drawing>
          <wp:inline distT="0" distB="0" distL="0" distR="0">
            <wp:extent cx="3065577" cy="2062716"/>
            <wp:effectExtent l="19050" t="0" r="1473" b="0"/>
            <wp:docPr id="2" name="Рисунок 24" descr="http://www.gibdd.ru/mens/peshekhodam/reflector/examples/images/d19.jpg">
              <a:hlinkClick xmlns:a="http://schemas.openxmlformats.org/drawingml/2006/main" r:id="rId9" tooltip="&quot;Накладки на велосипедные спиц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gibdd.ru/mens/peshekhodam/reflector/examples/images/d19.jpg">
                      <a:hlinkClick r:id="rId9" tooltip="&quot;Накладки на велосипедные спиц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739" cy="206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86EA8"/>
          <w:sz w:val="23"/>
          <w:szCs w:val="23"/>
          <w:lang w:eastAsia="ru-RU"/>
        </w:rPr>
        <w:drawing>
          <wp:inline distT="0" distB="0" distL="0" distR="0">
            <wp:extent cx="2825623" cy="1967023"/>
            <wp:effectExtent l="19050" t="0" r="0" b="0"/>
            <wp:docPr id="17" name="Рисунок 17" descr="http://www.gibdd.ru/mens/peshekhodam/reflector/examples/images/d12.jpg">
              <a:hlinkClick xmlns:a="http://schemas.openxmlformats.org/drawingml/2006/main" r:id="rId11" tooltip="&quot;Самофиксирующийся брас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ibdd.ru/mens/peshekhodam/reflector/examples/images/d12.jpg">
                      <a:hlinkClick r:id="rId11" tooltip="&quot;Самофиксирующийся брас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762" cy="197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86EA8"/>
          <w:sz w:val="23"/>
          <w:szCs w:val="23"/>
          <w:lang w:eastAsia="ru-RU"/>
        </w:rPr>
        <w:drawing>
          <wp:inline distT="0" distB="0" distL="0" distR="0">
            <wp:extent cx="2011769" cy="1644322"/>
            <wp:effectExtent l="19050" t="0" r="7531" b="0"/>
            <wp:docPr id="23" name="Рисунок 23" descr="http://www.gibdd.ru/mens/peshekhodam/reflector/examples/images/d18.jpg">
              <a:hlinkClick xmlns:a="http://schemas.openxmlformats.org/drawingml/2006/main" r:id="rId13" tooltip="&quot;Знач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gibdd.ru/mens/peshekhodam/reflector/examples/images/d18.jpg">
                      <a:hlinkClick r:id="rId13" tooltip="&quot;Знач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80" cy="164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86EA8"/>
          <w:sz w:val="23"/>
          <w:szCs w:val="23"/>
          <w:lang w:eastAsia="ru-RU"/>
        </w:rPr>
        <w:drawing>
          <wp:inline distT="0" distB="0" distL="0" distR="0">
            <wp:extent cx="2124614" cy="1594884"/>
            <wp:effectExtent l="19050" t="0" r="8986" b="0"/>
            <wp:docPr id="25" name="Рисунок 25" descr="http://www.gibdd.ru/mens/peshekhodam/reflector/examples/images/d20.jpg">
              <a:hlinkClick xmlns:a="http://schemas.openxmlformats.org/drawingml/2006/main" r:id="rId15" tooltip="&quot;Накладки на велосипедные спиц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gibdd.ru/mens/peshekhodam/reflector/examples/images/d20.jpg">
                      <a:hlinkClick r:id="rId15" tooltip="&quot;Накладки на велосипедные спиц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23" cy="159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25F" w:rsidRDefault="0089525F" w:rsidP="0089525F">
      <w:pPr>
        <w:pStyle w:val="3"/>
        <w:spacing w:line="335" w:lineRule="atLeast"/>
        <w:jc w:val="center"/>
        <w:rPr>
          <w:rFonts w:ascii="Arial" w:hAnsi="Arial" w:cs="Arial"/>
          <w:color w:val="083A5D"/>
          <w:sz w:val="27"/>
          <w:szCs w:val="27"/>
        </w:rPr>
      </w:pPr>
      <w:r>
        <w:rPr>
          <w:rFonts w:ascii="Arial" w:hAnsi="Arial" w:cs="Arial"/>
        </w:rPr>
        <w:t xml:space="preserve">Несъемные </w:t>
      </w:r>
      <w:proofErr w:type="spellStart"/>
      <w:r>
        <w:rPr>
          <w:rFonts w:ascii="Arial" w:hAnsi="Arial" w:cs="Arial"/>
        </w:rPr>
        <w:t>световозвращающие</w:t>
      </w:r>
      <w:proofErr w:type="spellEnd"/>
      <w:r>
        <w:rPr>
          <w:rFonts w:ascii="Arial" w:hAnsi="Arial" w:cs="Arial"/>
        </w:rPr>
        <w:t xml:space="preserve"> элементы</w:t>
      </w:r>
    </w:p>
    <w:p w:rsidR="0089525F" w:rsidRDefault="0089525F" w:rsidP="0089525F">
      <w:pPr>
        <w:spacing w:before="100" w:beforeAutospacing="1" w:after="100" w:afterAutospacing="1" w:line="335" w:lineRule="atLeast"/>
        <w:ind w:firstLine="480"/>
        <w:jc w:val="both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 xml:space="preserve">Несъемные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световозвращающие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элементы на тканевой основе традиционно применяются в спецодежде сотрудников полиции, врачей скорой медицинской помощи, железн</w:t>
      </w:r>
      <w:proofErr w:type="gramStart"/>
      <w:r>
        <w:rPr>
          <w:rFonts w:ascii="Arial" w:hAnsi="Arial" w:cs="Arial"/>
          <w:color w:val="1D1D1D"/>
          <w:sz w:val="23"/>
          <w:szCs w:val="23"/>
        </w:rPr>
        <w:t>о-</w:t>
      </w:r>
      <w:proofErr w:type="gramEnd"/>
      <w:r>
        <w:rPr>
          <w:rFonts w:ascii="Arial" w:hAnsi="Arial" w:cs="Arial"/>
          <w:color w:val="1D1D1D"/>
          <w:sz w:val="23"/>
          <w:szCs w:val="23"/>
        </w:rPr>
        <w:t xml:space="preserve"> и автодорожных рабочих и многих других. Актуально их применение в детской и подростковой одежде, в спортивной и туристической одежде и обуви.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Световозвращающие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элементы на одежде должны обеспечивать видимость объекта с двух сторон, чтобы человек был виден водителям встречных направлений движения.</w:t>
      </w:r>
    </w:p>
    <w:p w:rsidR="0089525F" w:rsidRDefault="0089525F" w:rsidP="00EB7003">
      <w:pPr>
        <w:spacing w:after="0" w:line="335" w:lineRule="atLeast"/>
        <w:jc w:val="center"/>
        <w:rPr>
          <w:rFonts w:ascii="Arial" w:hAnsi="Arial" w:cs="Arial"/>
          <w:color w:val="1D1D1D"/>
          <w:sz w:val="23"/>
          <w:szCs w:val="23"/>
        </w:rPr>
      </w:pPr>
      <w:hyperlink r:id="rId17" w:tooltip="Световозвращающие ленты" w:history="1">
        <w:r>
          <w:rPr>
            <w:rFonts w:ascii="Arial" w:hAnsi="Arial" w:cs="Arial"/>
            <w:color w:val="186EA8"/>
            <w:sz w:val="23"/>
            <w:szCs w:val="2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gibdd.ru/mens/peshekhodam/reflector/examples/images/f1.jpg" title="&quot;Световозвращающие ленты&quot;" style="width:24.3pt;height:24.3pt" o:button="t"/>
          </w:pict>
        </w:r>
      </w:hyperlink>
      <w:hyperlink r:id="rId18" w:tooltip="Световозвращающие ленты комбинированные" w:history="1">
        <w:r>
          <w:rPr>
            <w:rFonts w:ascii="Arial" w:hAnsi="Arial" w:cs="Arial"/>
            <w:color w:val="186EA8"/>
            <w:sz w:val="23"/>
            <w:szCs w:val="23"/>
          </w:rPr>
          <w:pict>
            <v:shape id="_x0000_i1026" type="#_x0000_t75" alt="" href="http://www.gibdd.ru/mens/peshekhodam/reflector/examples/images/f2.jpg" title="&quot;Световозвращающие ленты комбинированные&quot;" style="width:24.3pt;height:24.3pt" o:button="t"/>
          </w:pict>
        </w:r>
      </w:hyperlink>
      <w:r>
        <w:rPr>
          <w:rFonts w:ascii="Arial" w:hAnsi="Arial" w:cs="Arial"/>
          <w:noProof/>
          <w:color w:val="186EA8"/>
          <w:sz w:val="23"/>
          <w:szCs w:val="23"/>
          <w:lang w:eastAsia="ru-RU"/>
        </w:rPr>
        <w:drawing>
          <wp:inline distT="0" distB="0" distL="0" distR="0">
            <wp:extent cx="2676864" cy="2676864"/>
            <wp:effectExtent l="19050" t="0" r="9186" b="0"/>
            <wp:docPr id="30" name="Рисунок 30" descr="http://www.gibdd.ru/mens/peshekhodam/reflector/examples/images/f3.jpg">
              <a:hlinkClick xmlns:a="http://schemas.openxmlformats.org/drawingml/2006/main" r:id="rId19" tooltip="&quot;Полимерные световозвращающие ленты (катафотные ленты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gibdd.ru/mens/peshekhodam/reflector/examples/images/f3.jpg">
                      <a:hlinkClick r:id="rId19" tooltip="&quot;Полимерные световозвращающие ленты (катафотные ленты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178" cy="267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17" w:rsidRPr="0089525F" w:rsidRDefault="003F7017" w:rsidP="0089525F"/>
    <w:sectPr w:rsidR="003F7017" w:rsidRPr="0089525F" w:rsidSect="0089525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525F"/>
    <w:rsid w:val="003F7017"/>
    <w:rsid w:val="0089525F"/>
    <w:rsid w:val="009C7247"/>
    <w:rsid w:val="00EB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17"/>
  </w:style>
  <w:style w:type="paragraph" w:styleId="2">
    <w:name w:val="heading 2"/>
    <w:basedOn w:val="a"/>
    <w:link w:val="20"/>
    <w:uiPriority w:val="9"/>
    <w:qFormat/>
    <w:rsid w:val="0089525F"/>
    <w:pPr>
      <w:spacing w:after="167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8B0202"/>
      <w:sz w:val="27"/>
      <w:szCs w:val="27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2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25F"/>
    <w:rPr>
      <w:rFonts w:ascii="Times New Roman" w:eastAsia="Times New Roman" w:hAnsi="Times New Roman" w:cs="Times New Roman"/>
      <w:b/>
      <w:bCs/>
      <w:caps/>
      <w:color w:val="8B0202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52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8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ibdd.ru/mens/peshekhodam/reflector/examples/images/d18.jpg" TargetMode="External"/><Relationship Id="rId18" Type="http://schemas.openxmlformats.org/officeDocument/2006/relationships/hyperlink" Target="http://www.gibdd.ru/mens/peshekhodam/reflector/examples/images/f2.jp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ibdd.ru/mens/peshekhodam/reflector/examples/images/d5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gibdd.ru/mens/peshekhodam/reflector/examples/images/f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ibdd.ru/mens/peshekhodam/reflector/examples/images/d12.jpg" TargetMode="External"/><Relationship Id="rId5" Type="http://schemas.openxmlformats.org/officeDocument/2006/relationships/hyperlink" Target="http://www.gibdd.ru/mens/peshekhodam/reflector/examples/images/d2.jpg" TargetMode="External"/><Relationship Id="rId15" Type="http://schemas.openxmlformats.org/officeDocument/2006/relationships/hyperlink" Target="http://www.gibdd.ru/mens/peshekhodam/reflector/examples/images/d20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gibdd.ru/mens/peshekhodam/reflector/examples/images/f3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ibdd.ru/mens/peshekhodam/reflector/examples/images/d19.jpg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2015-09-21T11:13:00Z</dcterms:created>
  <dcterms:modified xsi:type="dcterms:W3CDTF">2015-09-21T11:26:00Z</dcterms:modified>
</cp:coreProperties>
</file>