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5C" w:rsidRPr="00832E5C" w:rsidRDefault="00832E5C" w:rsidP="00832E5C">
      <w:pPr>
        <w:shd w:val="clear" w:color="auto" w:fill="FFFFFF"/>
        <w:spacing w:after="169" w:line="169" w:lineRule="atLeast"/>
        <w:jc w:val="center"/>
        <w:rPr>
          <w:rFonts w:ascii="Arial" w:eastAsia="Times New Roman" w:hAnsi="Arial" w:cs="Arial"/>
          <w:b/>
          <w:sz w:val="14"/>
          <w:szCs w:val="14"/>
          <w:lang w:eastAsia="ru-RU"/>
        </w:rPr>
      </w:pPr>
      <w:r w:rsidRPr="00832E5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32E5C">
        <w:rPr>
          <w:rFonts w:ascii="Times New Roman" w:hAnsi="Times New Roman" w:cs="Times New Roman"/>
          <w:b/>
          <w:sz w:val="24"/>
          <w:szCs w:val="24"/>
        </w:rPr>
        <w:instrText xml:space="preserve"> HYPERLINK "http://www.garant.ru/products/ipo/prime/doc/71596646/" \l "1000" </w:instrText>
      </w:r>
      <w:r w:rsidRPr="00832E5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32E5C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Методические рекомендации</w:t>
      </w:r>
      <w:r w:rsidRPr="00832E5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32E5C">
        <w:rPr>
          <w:rFonts w:ascii="Times New Roman" w:hAnsi="Times New Roman" w:cs="Times New Roman"/>
          <w:b/>
          <w:sz w:val="24"/>
          <w:szCs w:val="24"/>
        </w:rPr>
        <w:t xml:space="preserve"> для образовательных организаций по информированию родителей о рисках, связанных с детской смертностью</w:t>
      </w:r>
    </w:p>
    <w:p w:rsidR="00832E5C" w:rsidRPr="00832E5C" w:rsidRDefault="00832E5C" w:rsidP="00832E5C">
      <w:pPr>
        <w:pStyle w:val="2"/>
        <w:shd w:val="clear" w:color="auto" w:fill="FFFFFF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0"/>
      <w:bookmarkEnd w:id="0"/>
      <w:proofErr w:type="gramStart"/>
      <w:r w:rsidRPr="00832E5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Департамент государственной политики в сфере защиты прав детей </w:t>
      </w:r>
      <w:proofErr w:type="spellStart"/>
      <w:r w:rsidRPr="00832E5C">
        <w:rPr>
          <w:rFonts w:ascii="Times New Roman" w:hAnsi="Times New Roman" w:cs="Times New Roman"/>
          <w:b w:val="0"/>
          <w:color w:val="000000"/>
          <w:sz w:val="24"/>
          <w:szCs w:val="24"/>
        </w:rPr>
        <w:t>Минобрнауки</w:t>
      </w:r>
      <w:proofErr w:type="spellEnd"/>
      <w:r w:rsidRPr="00832E5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России (далее - Департамент) направляет для использования в работе </w:t>
      </w:r>
      <w:hyperlink r:id="rId6" w:anchor="1000" w:history="1">
        <w:r w:rsidRPr="00832E5C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Методические рекомендации</w:t>
        </w:r>
      </w:hyperlink>
      <w:r w:rsidRPr="00832E5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для образовательных организаций по информированию родителей о рисках, связанных с детской смертностью, разработанные во исполнение пункта 4 Протокола совещания у заместителя председателя Правительства Российской Федерации О.Ю. </w:t>
      </w:r>
      <w:proofErr w:type="spellStart"/>
      <w:r w:rsidRPr="00832E5C">
        <w:rPr>
          <w:rFonts w:ascii="Times New Roman" w:hAnsi="Times New Roman" w:cs="Times New Roman"/>
          <w:b w:val="0"/>
          <w:color w:val="000000"/>
          <w:sz w:val="24"/>
          <w:szCs w:val="24"/>
        </w:rPr>
        <w:t>Голодец</w:t>
      </w:r>
      <w:proofErr w:type="spellEnd"/>
      <w:r w:rsidRPr="00832E5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 20 февраля 2017 г. N ОГ-П8-37пр.</w:t>
      </w:r>
      <w:proofErr w:type="gramEnd"/>
      <w:r w:rsidRPr="00832E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2E5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(Письмо Министерства образования и науки РФ от 19 мая 2017 г. N 07-2617 "О направлении методических рекомендаций")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 и могут быть использованы для организации работы с родителями и детьми.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Наиболее распространенные несчастные случаи, приводящие к увечьям и смерти детей, их причины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Наиболее распространенные несчастные случаи, приводящие к увечьям и смерти детей: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ожоги;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падения с высоты;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утопления;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отравления;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поражения электрическим током;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роллинг</w:t>
      </w:r>
      <w:proofErr w:type="spell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(катание на роликах);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статистических данных, полученных из баз данных Всемирной организации здравоохранения, можно утверждать, что </w:t>
      </w:r>
      <w:r w:rsidRPr="00832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причинами несчастных случаев в детском возрасте чаще всего являются: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должного надзора за детьми всех возрастных групп;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неосторожное, неправильное поведение ребенка в быту, на улице, во время игр, занятий спортом.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несчастных случаев с детьми имеют возрастную специфику: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возрасте до 4 лет дети чаще подвергаются несчастным случаям, самостоятельно познавая окружающий мир;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возрасте от 10 до 14 лет и старше - вследствие борьбы за лидерство. Так, у детей 10-12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бурная энергия и активность - факторы, способствующие возникновению несчастных случаев у школьников 10-13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Обучение детей основам профилактики несчастных случаев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указанных причин </w:t>
      </w:r>
      <w:r w:rsidRPr="00832E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родителей по предупреждению несчастных случаев должна вестись в следующих направлениях: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безопасной среды пребывания ребенка, обеспечение надзора;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систематическое обучение детей основам профилактики несчастных случаев.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безопасной среды пребывания ребенка предполагает: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досуга ребенка, включение его в интересные и полезные развивающие занятия;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ограничение опасных условий, обеспечение недоступности для ребенка опасных средств и веществ;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язи).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обучение детей основам профилактики несчастных случаев включает: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несчастных случаев;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условия проведения</w:t>
      </w: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успешной профилактической работы с детьми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Родители сами должны показывать пример безопасного и ответственного поведения.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Рекомендации по предупреждению несчастных случаев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Ожоги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ожогов: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ограничьте доступ детей к открытому огню, явлениям и веществам, которые могут вызвать ожоги;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запретите детям разводить костры и находиться вблизи открытого огня без присмотра взрослых.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профилактики солнечных ожогов и ударов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в солнечную жаркую погоду голову светлым (</w:t>
      </w:r>
      <w:proofErr w:type="gram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светлое</w:t>
      </w:r>
      <w:proofErr w:type="gram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глаза темными очками, при этом очки должны быть с фильтрами, полностью блокирующими солнечные лучи диапазонов</w:t>
      </w:r>
      <w:proofErr w:type="gram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нанести на кожу ребенка солнцезащитный крем (не менее 25-30 единиц) за 20-30 минут до выхода на улицу;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находиться на солнце (если ребенок загорает в первый раз) можно не более 5-6 минут и 8-10 минут после образования загара;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солнечные ванны не чаще 2-3 раз в день с перерывами, во время которых ребенок должен быть в тени;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находиться долгое время на солнце (даже под зонтом). Продолжительность солнечных ванн изначально не должна быть дольше 15-20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загорать лучше не лежа, а в движении, а также принимать солнечные ванны в утренние и вечерние часы;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приучать ребенка поддерживать в организме водный баланс: находясь на </w:t>
      </w:r>
      <w:proofErr w:type="gram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отдыхе</w:t>
      </w:r>
      <w:proofErr w:type="gram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море, пить не меньше 2-3 литров в день;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протирать время от времени лицо мокрым, прохладным платком, чаще умываться и принимать прохладный душ;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ребенка при ощущении недомогания незамедлительно обращаться за помощью.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Падение с высоты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Падения </w:t>
      </w:r>
      <w:proofErr w:type="gram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высоты чаще всего связаны с пребыванием детей без присмотра в опасных местах на высоте</w:t>
      </w:r>
      <w:proofErr w:type="gram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падения с высоты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запретить детям играть в опасных местах;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оставлять детей без присмотра на высоте;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Отравление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отравления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Поражение электрическим током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поражения электрическим током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запретить детям играть в опасных местах;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объяснить ребенку опасность прикосновения к электрическим проводам.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Утопление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утопления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оставлять ребенка без присмотра вблизи водоема;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разрешать купаться только в специально отведенных для этого местах;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его защитными средствами в случае, если ребенок не умеет плавать;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напоминать ребенку правила поведения на воде перед каждым посещением водоема.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3.6. </w:t>
      </w:r>
      <w:proofErr w:type="spellStart"/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Роллинговый</w:t>
      </w:r>
      <w:proofErr w:type="spellEnd"/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травматизм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Роллинговый</w:t>
      </w:r>
      <w:proofErr w:type="spell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предупреждения </w:t>
      </w:r>
      <w:proofErr w:type="spell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роллингового</w:t>
      </w:r>
      <w:proofErr w:type="spell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травматизма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правильно роликовые коньки: голенище должно надежно поддерживать голеностопный сустав;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способам торможения. Если не можете этого сделать сами - пригласите опытного роллера;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ребенка правильно падать: вперед на колени, а затем на руки;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запретить кататься вблизи проезжей части;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детей избегать высоких скоростей, следить за рельефом дороги, быть внимательным.</w:t>
      </w:r>
    </w:p>
    <w:p w:rsidR="00832E5C" w:rsidRPr="00832E5C" w:rsidRDefault="00832E5C" w:rsidP="00832E5C">
      <w:pPr>
        <w:shd w:val="clear" w:color="auto" w:fill="FFFFFF"/>
        <w:spacing w:after="169" w:line="179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Дорожно-транспортный травматизм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дорожно-транспортного травматизма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неукоснительно самим, а также научить ребенка соблюдать правила дорожного движения;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попавших</w:t>
      </w:r>
      <w:proofErr w:type="gramEnd"/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дорожное происшествие, попадают под колеса другой машины;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 перевозке ребенка в автомобиле специальное кресло и ремни безопасности;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Серьезный риск представляет нарушение правил поведения на железной дороге.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дорожно-транспортного травматизма на железной дороге необходимо: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оставлять детей без присмотра вблизи железнодорожных путей;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учить детей переходить железнодорожные пути только в специально отведенных местах;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832E5C" w:rsidRPr="00832E5C" w:rsidRDefault="00832E5C" w:rsidP="00832E5C">
      <w:pPr>
        <w:shd w:val="clear" w:color="auto" w:fill="FFFFFF"/>
        <w:spacing w:after="169" w:line="16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CC6957" w:rsidRPr="00832E5C" w:rsidRDefault="00832E5C" w:rsidP="00832E5C">
      <w:pPr>
        <w:jc w:val="both"/>
        <w:rPr>
          <w:rFonts w:ascii="Times New Roman" w:hAnsi="Times New Roman" w:cs="Times New Roman"/>
          <w:sz w:val="24"/>
          <w:szCs w:val="24"/>
        </w:rPr>
      </w:pP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2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CC6957" w:rsidRPr="00832E5C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89" w:rsidRDefault="00713489" w:rsidP="00832E5C">
      <w:pPr>
        <w:spacing w:after="0" w:line="240" w:lineRule="auto"/>
      </w:pPr>
      <w:r>
        <w:separator/>
      </w:r>
    </w:p>
  </w:endnote>
  <w:endnote w:type="continuationSeparator" w:id="0">
    <w:p w:rsidR="00713489" w:rsidRDefault="00713489" w:rsidP="008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89" w:rsidRDefault="00713489" w:rsidP="00832E5C">
      <w:pPr>
        <w:spacing w:after="0" w:line="240" w:lineRule="auto"/>
      </w:pPr>
      <w:r>
        <w:separator/>
      </w:r>
    </w:p>
  </w:footnote>
  <w:footnote w:type="continuationSeparator" w:id="0">
    <w:p w:rsidR="00713489" w:rsidRDefault="00713489" w:rsidP="00832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E5C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B70CE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13489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2E5C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2E5C"/>
    <w:pPr>
      <w:spacing w:after="169" w:line="179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2E5C"/>
    <w:rPr>
      <w:rFonts w:ascii="Times New Roman" w:eastAsia="Times New Roman" w:hAnsi="Times New Roman" w:cs="Times New Roman"/>
      <w:b/>
      <w:bCs/>
      <w:color w:val="333333"/>
      <w:sz w:val="17"/>
      <w:szCs w:val="17"/>
      <w:lang w:eastAsia="ru-RU"/>
    </w:rPr>
  </w:style>
  <w:style w:type="character" w:styleId="a3">
    <w:name w:val="Hyperlink"/>
    <w:basedOn w:val="a0"/>
    <w:uiPriority w:val="99"/>
    <w:semiHidden/>
    <w:unhideWhenUsed/>
    <w:rsid w:val="00832E5C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832E5C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3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2E5C"/>
  </w:style>
  <w:style w:type="paragraph" w:styleId="a7">
    <w:name w:val="footer"/>
    <w:basedOn w:val="a"/>
    <w:link w:val="a8"/>
    <w:uiPriority w:val="99"/>
    <w:semiHidden/>
    <w:unhideWhenUsed/>
    <w:rsid w:val="0083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2E5C"/>
  </w:style>
  <w:style w:type="character" w:customStyle="1" w:styleId="20">
    <w:name w:val="Заголовок 2 Знак"/>
    <w:basedOn w:val="a0"/>
    <w:link w:val="2"/>
    <w:uiPriority w:val="9"/>
    <w:semiHidden/>
    <w:rsid w:val="00832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832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5202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59664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2359</Words>
  <Characters>13451</Characters>
  <Application>Microsoft Office Word</Application>
  <DocSecurity>0</DocSecurity>
  <Lines>112</Lines>
  <Paragraphs>31</Paragraphs>
  <ScaleCrop>false</ScaleCrop>
  <Company/>
  <LinksUpToDate>false</LinksUpToDate>
  <CharactersWithSpaces>15779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2019-02-01T08:53:00Z</dcterms:created>
  <dcterms:modified xsi:type="dcterms:W3CDTF">2019-02-01T09:02:00Z</dcterms:modified>
</cp:coreProperties>
</file>