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7286"/>
        <w:gridCol w:w="7286"/>
      </w:tblGrid>
      <w:tr w:rsidR="00AE583E">
        <w:tc>
          <w:tcPr>
            <w:tcW w:w="7286" w:type="dxa"/>
          </w:tcPr>
          <w:p w:rsidR="00AE583E" w:rsidRDefault="00AE583E">
            <w:pPr>
              <w:autoSpaceDE w:val="0"/>
              <w:autoSpaceDN w:val="0"/>
              <w:adjustRightInd w:val="0"/>
              <w:spacing w:after="0" w:line="240" w:lineRule="auto"/>
              <w:rPr>
                <w:rFonts w:ascii="Calibri" w:hAnsi="Calibri" w:cs="Calibri"/>
              </w:rPr>
            </w:pPr>
            <w:bookmarkStart w:id="0" w:name="_GoBack"/>
            <w:bookmarkEnd w:id="0"/>
            <w:r>
              <w:rPr>
                <w:rFonts w:ascii="Calibri" w:hAnsi="Calibri" w:cs="Calibri"/>
              </w:rPr>
              <w:t>30 декабря 2001 года</w:t>
            </w:r>
          </w:p>
        </w:tc>
        <w:tc>
          <w:tcPr>
            <w:tcW w:w="7286" w:type="dxa"/>
          </w:tcPr>
          <w:p w:rsidR="00AE583E" w:rsidRDefault="00AE583E">
            <w:pPr>
              <w:autoSpaceDE w:val="0"/>
              <w:autoSpaceDN w:val="0"/>
              <w:adjustRightInd w:val="0"/>
              <w:spacing w:after="0" w:line="240" w:lineRule="auto"/>
              <w:jc w:val="right"/>
              <w:rPr>
                <w:rFonts w:ascii="Calibri" w:hAnsi="Calibri" w:cs="Calibri"/>
              </w:rPr>
            </w:pPr>
            <w:r>
              <w:rPr>
                <w:rFonts w:ascii="Calibri" w:hAnsi="Calibri" w:cs="Calibri"/>
              </w:rPr>
              <w:t>N 195-ФЗ</w:t>
            </w:r>
          </w:p>
        </w:tc>
      </w:tr>
    </w:tbl>
    <w:p w:rsidR="00AE583E" w:rsidRDefault="00AE583E" w:rsidP="00AE583E">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E583E" w:rsidRDefault="00AE583E" w:rsidP="00AE583E">
      <w:pPr>
        <w:autoSpaceDE w:val="0"/>
        <w:autoSpaceDN w:val="0"/>
        <w:adjustRightInd w:val="0"/>
        <w:spacing w:after="0" w:line="240" w:lineRule="auto"/>
        <w:jc w:val="both"/>
        <w:outlineLvl w:val="0"/>
        <w:rPr>
          <w:rFonts w:ascii="Calibri" w:hAnsi="Calibri" w:cs="Calibri"/>
        </w:rPr>
      </w:pPr>
    </w:p>
    <w:p w:rsidR="00AE583E" w:rsidRDefault="00AE583E" w:rsidP="00AE583E">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E583E" w:rsidRDefault="00AE583E" w:rsidP="00AE583E">
      <w:pPr>
        <w:autoSpaceDE w:val="0"/>
        <w:autoSpaceDN w:val="0"/>
        <w:adjustRightInd w:val="0"/>
        <w:spacing w:after="0" w:line="240" w:lineRule="auto"/>
        <w:jc w:val="center"/>
        <w:rPr>
          <w:rFonts w:ascii="Calibri" w:hAnsi="Calibri" w:cs="Calibri"/>
          <w:b/>
          <w:bCs/>
        </w:rPr>
      </w:pPr>
    </w:p>
    <w:p w:rsidR="00AE583E" w:rsidRDefault="00AE583E" w:rsidP="00AE583E">
      <w:pPr>
        <w:autoSpaceDE w:val="0"/>
        <w:autoSpaceDN w:val="0"/>
        <w:adjustRightInd w:val="0"/>
        <w:spacing w:after="0" w:line="240" w:lineRule="auto"/>
        <w:jc w:val="center"/>
        <w:rPr>
          <w:rFonts w:ascii="Calibri" w:hAnsi="Calibri" w:cs="Calibri"/>
          <w:b/>
          <w:bCs/>
        </w:rPr>
      </w:pPr>
      <w:r>
        <w:rPr>
          <w:rFonts w:ascii="Calibri" w:hAnsi="Calibri" w:cs="Calibri"/>
          <w:b/>
          <w:bCs/>
        </w:rPr>
        <w:t>КОДЕКС РОССИЙСКОЙ ФЕДЕРАЦИИ</w:t>
      </w:r>
    </w:p>
    <w:p w:rsidR="00AE583E" w:rsidRDefault="00AE583E" w:rsidP="00AE583E">
      <w:pPr>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AE583E" w:rsidRDefault="00AE583E" w:rsidP="00AE583E">
      <w:pPr>
        <w:autoSpaceDE w:val="0"/>
        <w:autoSpaceDN w:val="0"/>
        <w:adjustRightInd w:val="0"/>
        <w:spacing w:after="0" w:line="240" w:lineRule="auto"/>
        <w:jc w:val="both"/>
        <w:rPr>
          <w:rFonts w:ascii="Calibri" w:hAnsi="Calibri" w:cs="Calibri"/>
        </w:rPr>
      </w:pPr>
    </w:p>
    <w:p w:rsidR="00AE583E" w:rsidRDefault="00AE583E" w:rsidP="00AE583E">
      <w:pPr>
        <w:autoSpaceDE w:val="0"/>
        <w:autoSpaceDN w:val="0"/>
        <w:adjustRightInd w:val="0"/>
        <w:spacing w:after="0" w:line="240" w:lineRule="auto"/>
        <w:jc w:val="right"/>
        <w:rPr>
          <w:rFonts w:ascii="Calibri" w:hAnsi="Calibri" w:cs="Calibri"/>
        </w:rPr>
      </w:pPr>
      <w:r>
        <w:rPr>
          <w:rFonts w:ascii="Calibri" w:hAnsi="Calibri" w:cs="Calibri"/>
        </w:rPr>
        <w:t>Принят</w:t>
      </w:r>
    </w:p>
    <w:p w:rsidR="00AE583E" w:rsidRDefault="00AE583E" w:rsidP="00AE583E">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E583E" w:rsidRDefault="00AE583E" w:rsidP="00AE583E">
      <w:pPr>
        <w:autoSpaceDE w:val="0"/>
        <w:autoSpaceDN w:val="0"/>
        <w:adjustRightInd w:val="0"/>
        <w:spacing w:after="0" w:line="240" w:lineRule="auto"/>
        <w:jc w:val="right"/>
        <w:rPr>
          <w:rFonts w:ascii="Calibri" w:hAnsi="Calibri" w:cs="Calibri"/>
        </w:rPr>
      </w:pPr>
      <w:r>
        <w:rPr>
          <w:rFonts w:ascii="Calibri" w:hAnsi="Calibri" w:cs="Calibri"/>
        </w:rPr>
        <w:t>20 декабря 2001 года</w:t>
      </w:r>
    </w:p>
    <w:p w:rsidR="00AE583E" w:rsidRDefault="00AE583E" w:rsidP="00AE583E">
      <w:pPr>
        <w:autoSpaceDE w:val="0"/>
        <w:autoSpaceDN w:val="0"/>
        <w:adjustRightInd w:val="0"/>
        <w:spacing w:after="0" w:line="240" w:lineRule="auto"/>
        <w:jc w:val="right"/>
        <w:rPr>
          <w:rFonts w:ascii="Calibri" w:hAnsi="Calibri" w:cs="Calibri"/>
        </w:rPr>
      </w:pPr>
    </w:p>
    <w:p w:rsidR="00AE583E" w:rsidRDefault="00AE583E" w:rsidP="00AE583E">
      <w:pPr>
        <w:autoSpaceDE w:val="0"/>
        <w:autoSpaceDN w:val="0"/>
        <w:adjustRightInd w:val="0"/>
        <w:spacing w:after="0" w:line="240" w:lineRule="auto"/>
        <w:jc w:val="right"/>
        <w:rPr>
          <w:rFonts w:ascii="Calibri" w:hAnsi="Calibri" w:cs="Calibri"/>
        </w:rPr>
      </w:pPr>
      <w:r>
        <w:rPr>
          <w:rFonts w:ascii="Calibri" w:hAnsi="Calibri" w:cs="Calibri"/>
        </w:rPr>
        <w:t>Одобрен</w:t>
      </w:r>
    </w:p>
    <w:p w:rsidR="00AE583E" w:rsidRDefault="00AE583E" w:rsidP="00AE583E">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E583E" w:rsidRDefault="00AE583E" w:rsidP="00AE583E">
      <w:pPr>
        <w:autoSpaceDE w:val="0"/>
        <w:autoSpaceDN w:val="0"/>
        <w:adjustRightInd w:val="0"/>
        <w:spacing w:after="0" w:line="240" w:lineRule="auto"/>
        <w:jc w:val="right"/>
        <w:rPr>
          <w:rFonts w:ascii="Calibri" w:hAnsi="Calibri" w:cs="Calibri"/>
        </w:rPr>
      </w:pPr>
      <w:r>
        <w:rPr>
          <w:rFonts w:ascii="Calibri" w:hAnsi="Calibri" w:cs="Calibri"/>
        </w:rPr>
        <w:t>26 декабря 2001 года</w:t>
      </w:r>
    </w:p>
    <w:p w:rsidR="00AE583E" w:rsidRDefault="00AE583E" w:rsidP="00AE583E">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Статья 19.28. Незаконное вознаграждение от имени юридического лица</w:t>
      </w:r>
    </w:p>
    <w:p w:rsidR="00AE583E" w:rsidRDefault="00AE583E" w:rsidP="00AE583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04.05.2011 N 97-ФЗ)</w:t>
      </w:r>
    </w:p>
    <w:p w:rsidR="00AE583E" w:rsidRDefault="00AE583E" w:rsidP="00AE583E">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14286"/>
        <w:gridCol w:w="113"/>
      </w:tblGrid>
      <w:tr w:rsidR="00AE583E">
        <w:tc>
          <w:tcPr>
            <w:tcW w:w="60" w:type="dxa"/>
            <w:shd w:val="clear" w:color="auto" w:fill="CED3F1"/>
            <w:tcMar>
              <w:top w:w="0" w:type="dxa"/>
              <w:left w:w="0" w:type="dxa"/>
              <w:bottom w:w="0" w:type="dxa"/>
              <w:right w:w="0" w:type="dxa"/>
            </w:tcMar>
          </w:tcPr>
          <w:p w:rsidR="00AE583E" w:rsidRDefault="00AE583E">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E583E" w:rsidRDefault="00AE583E">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E583E" w:rsidRDefault="00AE583E">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Перспективы и риски споров в суде общей юрисдикции. Ситуации, связанные со ст. 19.28. КоАП РФ</w:t>
            </w:r>
          </w:p>
          <w:p w:rsidR="00AE583E" w:rsidRDefault="00AE583E">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 </w:t>
            </w:r>
            <w:hyperlink r:id="rId5" w:history="1">
              <w:r>
                <w:rPr>
                  <w:rFonts w:ascii="Times New Roman" w:hAnsi="Times New Roman" w:cs="Times New Roman"/>
                  <w:color w:val="0000FF"/>
                  <w:sz w:val="24"/>
                  <w:szCs w:val="24"/>
                </w:rPr>
                <w:t>Организация оспаривает привлечение к ответственности за незаконное вознаграждение от имени юридического лица</w:t>
              </w:r>
            </w:hyperlink>
          </w:p>
        </w:tc>
        <w:tc>
          <w:tcPr>
            <w:tcW w:w="113" w:type="dxa"/>
            <w:shd w:val="clear" w:color="auto" w:fill="F4F3F8"/>
            <w:tcMar>
              <w:top w:w="0" w:type="dxa"/>
              <w:left w:w="0" w:type="dxa"/>
              <w:bottom w:w="0" w:type="dxa"/>
              <w:right w:w="0" w:type="dxa"/>
            </w:tcMar>
          </w:tcPr>
          <w:p w:rsidR="00AE583E" w:rsidRDefault="00AE583E">
            <w:pPr>
              <w:autoSpaceDE w:val="0"/>
              <w:autoSpaceDN w:val="0"/>
              <w:adjustRightInd w:val="0"/>
              <w:spacing w:after="0" w:line="240" w:lineRule="auto"/>
              <w:jc w:val="both"/>
              <w:rPr>
                <w:rFonts w:ascii="Times New Roman" w:hAnsi="Times New Roman" w:cs="Times New Roman"/>
                <w:color w:val="392C69"/>
                <w:sz w:val="24"/>
                <w:szCs w:val="24"/>
              </w:rPr>
            </w:pPr>
          </w:p>
        </w:tc>
      </w:tr>
    </w:tbl>
    <w:p w:rsidR="00AE583E" w:rsidRDefault="00AE583E" w:rsidP="00AE583E">
      <w:pPr>
        <w:autoSpaceDE w:val="0"/>
        <w:autoSpaceDN w:val="0"/>
        <w:adjustRightInd w:val="0"/>
        <w:spacing w:after="0" w:line="240" w:lineRule="auto"/>
        <w:ind w:firstLine="540"/>
        <w:jc w:val="both"/>
        <w:rPr>
          <w:rFonts w:ascii="Times New Roman" w:hAnsi="Times New Roman" w:cs="Times New Roman"/>
          <w:sz w:val="24"/>
          <w:szCs w:val="24"/>
        </w:rPr>
      </w:pPr>
    </w:p>
    <w:p w:rsidR="00AE583E" w:rsidRDefault="00AE583E" w:rsidP="00AE583E">
      <w:pPr>
        <w:autoSpaceDE w:val="0"/>
        <w:autoSpaceDN w:val="0"/>
        <w:adjustRightInd w:val="0"/>
        <w:spacing w:after="0" w:line="240" w:lineRule="auto"/>
        <w:ind w:firstLine="540"/>
        <w:jc w:val="both"/>
        <w:rPr>
          <w:rFonts w:ascii="Times New Roman" w:hAnsi="Times New Roman" w:cs="Times New Roman"/>
          <w:sz w:val="24"/>
          <w:szCs w:val="24"/>
        </w:rPr>
      </w:pPr>
      <w:bookmarkStart w:id="1" w:name="Par5"/>
      <w:bookmarkEnd w:id="1"/>
      <w:r>
        <w:rPr>
          <w:rFonts w:ascii="Times New Roman" w:hAnsi="Times New Roman" w:cs="Times New Roman"/>
          <w:sz w:val="24"/>
          <w:szCs w:val="24"/>
        </w:rP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AE583E" w:rsidRDefault="00AE583E" w:rsidP="00AE58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27.12.2018 N 570-ФЗ)</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w:t>
      </w:r>
      <w:r>
        <w:rPr>
          <w:rFonts w:ascii="Times New Roman" w:hAnsi="Times New Roman" w:cs="Times New Roman"/>
          <w:sz w:val="24"/>
          <w:szCs w:val="24"/>
        </w:rPr>
        <w:lastRenderedPageBreak/>
        <w:t>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Действия, предусмотренные </w:t>
      </w:r>
      <w:hyperlink w:anchor="Par5"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совершенные в крупном размере, -</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Действия, предусмотренные </w:t>
      </w:r>
      <w:hyperlink w:anchor="Par5"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совершенные в особо крупном размере, -</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Примечания:</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настоящей статье под должностным лицом понимаются лица, указанные в </w:t>
      </w:r>
      <w:hyperlink r:id="rId7" w:history="1">
        <w:r>
          <w:rPr>
            <w:rFonts w:ascii="Times New Roman" w:hAnsi="Times New Roman" w:cs="Times New Roman"/>
            <w:color w:val="0000FF"/>
            <w:sz w:val="24"/>
            <w:szCs w:val="24"/>
          </w:rPr>
          <w:t>примечаниях 1</w:t>
        </w:r>
      </w:hyperlink>
      <w:r>
        <w:rPr>
          <w:rFonts w:ascii="Times New Roman" w:hAnsi="Times New Roman" w:cs="Times New Roman"/>
          <w:sz w:val="24"/>
          <w:szCs w:val="24"/>
        </w:rPr>
        <w:t xml:space="preserve"> - </w:t>
      </w:r>
      <w:hyperlink r:id="rId8" w:history="1">
        <w:r>
          <w:rPr>
            <w:rFonts w:ascii="Times New Roman" w:hAnsi="Times New Roman" w:cs="Times New Roman"/>
            <w:color w:val="0000FF"/>
            <w:sz w:val="24"/>
            <w:szCs w:val="24"/>
          </w:rPr>
          <w:t>3 к статье 285</w:t>
        </w:r>
      </w:hyperlink>
      <w:r>
        <w:rPr>
          <w:rFonts w:ascii="Times New Roman" w:hAnsi="Times New Roman" w:cs="Times New Roman"/>
          <w:sz w:val="24"/>
          <w:szCs w:val="24"/>
        </w:rPr>
        <w:t xml:space="preserve"> Уголовного кодекса Российской Федерации.</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9" w:history="1">
        <w:r>
          <w:rPr>
            <w:rFonts w:ascii="Times New Roman" w:hAnsi="Times New Roman" w:cs="Times New Roman"/>
            <w:color w:val="0000FF"/>
            <w:sz w:val="24"/>
            <w:szCs w:val="24"/>
          </w:rPr>
          <w:t>примечании 1 к статье 201</w:t>
        </w:r>
      </w:hyperlink>
      <w:r>
        <w:rPr>
          <w:rFonts w:ascii="Times New Roman" w:hAnsi="Times New Roman" w:cs="Times New Roman"/>
          <w:sz w:val="24"/>
          <w:szCs w:val="24"/>
        </w:rPr>
        <w:t xml:space="preserve"> Уголовного кодекса Российской Федерации.</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17"/>
      <w:bookmarkEnd w:id="2"/>
      <w:r>
        <w:rPr>
          <w:rFonts w:ascii="Times New Roman" w:hAnsi="Times New Roman" w:cs="Times New Roman"/>
          <w:sz w:val="24"/>
          <w:szCs w:val="24"/>
        </w:rPr>
        <w:t xml:space="preserve">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w:t>
      </w:r>
      <w:r>
        <w:rPr>
          <w:rFonts w:ascii="Times New Roman" w:hAnsi="Times New Roman" w:cs="Times New Roman"/>
          <w:sz w:val="24"/>
          <w:szCs w:val="24"/>
        </w:rPr>
        <w:lastRenderedPageBreak/>
        <w:t>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AE583E" w:rsidRDefault="00AE583E" w:rsidP="00AE58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298-ФЗ)</w:t>
      </w:r>
    </w:p>
    <w:p w:rsidR="00AE583E" w:rsidRDefault="00AE583E" w:rsidP="00AE583E">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Положение, предусмотренное </w:t>
      </w:r>
      <w:hyperlink w:anchor="Par17" w:history="1">
        <w:r>
          <w:rPr>
            <w:rFonts w:ascii="Times New Roman" w:hAnsi="Times New Roman" w:cs="Times New Roman"/>
            <w:color w:val="0000FF"/>
            <w:sz w:val="24"/>
            <w:szCs w:val="24"/>
          </w:rPr>
          <w:t>примечанием 5</w:t>
        </w:r>
      </w:hyperlink>
      <w:r>
        <w:rPr>
          <w:rFonts w:ascii="Times New Roman" w:hAnsi="Times New Roman" w:cs="Times New Roman"/>
          <w:sz w:val="24"/>
          <w:szCs w:val="24"/>
        </w:rP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AE583E" w:rsidRDefault="00AE583E" w:rsidP="00AE58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298-ФЗ)</w:t>
      </w:r>
    </w:p>
    <w:p w:rsidR="00116D28" w:rsidRPr="00AE583E" w:rsidRDefault="00116D28" w:rsidP="00AE583E"/>
    <w:sectPr w:rsidR="00116D28" w:rsidRPr="00AE583E" w:rsidSect="00AE583E">
      <w:pgSz w:w="16840" w:h="11907" w:orient="landscape"/>
      <w:pgMar w:top="992" w:right="1134" w:bottom="851"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FC"/>
    <w:rsid w:val="00116D28"/>
    <w:rsid w:val="005D7B21"/>
    <w:rsid w:val="009E3A00"/>
    <w:rsid w:val="00AE583E"/>
    <w:rsid w:val="00F0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6F051-E5D9-4A2C-BBD1-A9B325AD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7B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7B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B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7B2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D7B21"/>
    <w:rPr>
      <w:color w:val="0000FF"/>
      <w:u w:val="single"/>
    </w:rPr>
  </w:style>
  <w:style w:type="paragraph" w:styleId="a4">
    <w:name w:val="Normal (Web)"/>
    <w:basedOn w:val="a"/>
    <w:uiPriority w:val="99"/>
    <w:semiHidden/>
    <w:unhideWhenUsed/>
    <w:rsid w:val="005D7B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545109">
      <w:bodyDiv w:val="1"/>
      <w:marLeft w:val="0"/>
      <w:marRight w:val="0"/>
      <w:marTop w:val="0"/>
      <w:marBottom w:val="0"/>
      <w:divBdr>
        <w:top w:val="none" w:sz="0" w:space="0" w:color="auto"/>
        <w:left w:val="none" w:sz="0" w:space="0" w:color="auto"/>
        <w:bottom w:val="none" w:sz="0" w:space="0" w:color="auto"/>
        <w:right w:val="none" w:sz="0" w:space="0" w:color="auto"/>
      </w:divBdr>
      <w:divsChild>
        <w:div w:id="120349476">
          <w:marLeft w:val="0"/>
          <w:marRight w:val="0"/>
          <w:marTop w:val="0"/>
          <w:marBottom w:val="0"/>
          <w:divBdr>
            <w:top w:val="none" w:sz="0" w:space="0" w:color="auto"/>
            <w:left w:val="none" w:sz="0" w:space="0" w:color="auto"/>
            <w:bottom w:val="none" w:sz="0" w:space="0" w:color="auto"/>
            <w:right w:val="none" w:sz="0" w:space="0" w:color="auto"/>
          </w:divBdr>
        </w:div>
        <w:div w:id="548225490">
          <w:marLeft w:val="0"/>
          <w:marRight w:val="0"/>
          <w:marTop w:val="0"/>
          <w:marBottom w:val="0"/>
          <w:divBdr>
            <w:top w:val="none" w:sz="0" w:space="0" w:color="auto"/>
            <w:left w:val="none" w:sz="0" w:space="0" w:color="auto"/>
            <w:bottom w:val="none" w:sz="0" w:space="0" w:color="auto"/>
            <w:right w:val="none" w:sz="0" w:space="0" w:color="auto"/>
          </w:divBdr>
          <w:divsChild>
            <w:div w:id="704986364">
              <w:marLeft w:val="0"/>
              <w:marRight w:val="0"/>
              <w:marTop w:val="0"/>
              <w:marBottom w:val="0"/>
              <w:divBdr>
                <w:top w:val="none" w:sz="0" w:space="0" w:color="auto"/>
                <w:left w:val="none" w:sz="0" w:space="0" w:color="auto"/>
                <w:bottom w:val="none" w:sz="0" w:space="0" w:color="auto"/>
                <w:right w:val="none" w:sz="0" w:space="0" w:color="auto"/>
              </w:divBdr>
              <w:divsChild>
                <w:div w:id="229391328">
                  <w:marLeft w:val="0"/>
                  <w:marRight w:val="0"/>
                  <w:marTop w:val="0"/>
                  <w:marBottom w:val="0"/>
                  <w:divBdr>
                    <w:top w:val="none" w:sz="0" w:space="0" w:color="auto"/>
                    <w:left w:val="none" w:sz="0" w:space="0" w:color="auto"/>
                    <w:bottom w:val="none" w:sz="0" w:space="0" w:color="auto"/>
                    <w:right w:val="none" w:sz="0" w:space="0" w:color="auto"/>
                  </w:divBdr>
                </w:div>
                <w:div w:id="1505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7454">
          <w:marLeft w:val="0"/>
          <w:marRight w:val="0"/>
          <w:marTop w:val="0"/>
          <w:marBottom w:val="0"/>
          <w:divBdr>
            <w:top w:val="none" w:sz="0" w:space="0" w:color="auto"/>
            <w:left w:val="none" w:sz="0" w:space="0" w:color="auto"/>
            <w:bottom w:val="none" w:sz="0" w:space="0" w:color="auto"/>
            <w:right w:val="none" w:sz="0" w:space="0" w:color="auto"/>
          </w:divBdr>
          <w:divsChild>
            <w:div w:id="125124951">
              <w:marLeft w:val="0"/>
              <w:marRight w:val="0"/>
              <w:marTop w:val="0"/>
              <w:marBottom w:val="0"/>
              <w:divBdr>
                <w:top w:val="none" w:sz="0" w:space="0" w:color="auto"/>
                <w:left w:val="none" w:sz="0" w:space="0" w:color="auto"/>
                <w:bottom w:val="none" w:sz="0" w:space="0" w:color="auto"/>
                <w:right w:val="none" w:sz="0" w:space="0" w:color="auto"/>
              </w:divBdr>
              <w:divsChild>
                <w:div w:id="1505393573">
                  <w:marLeft w:val="0"/>
                  <w:marRight w:val="0"/>
                  <w:marTop w:val="0"/>
                  <w:marBottom w:val="0"/>
                  <w:divBdr>
                    <w:top w:val="none" w:sz="0" w:space="0" w:color="auto"/>
                    <w:left w:val="none" w:sz="0" w:space="0" w:color="auto"/>
                    <w:bottom w:val="none" w:sz="0" w:space="0" w:color="auto"/>
                    <w:right w:val="none" w:sz="0" w:space="0" w:color="auto"/>
                  </w:divBdr>
                  <w:divsChild>
                    <w:div w:id="714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7875">
              <w:marLeft w:val="0"/>
              <w:marRight w:val="0"/>
              <w:marTop w:val="0"/>
              <w:marBottom w:val="0"/>
              <w:divBdr>
                <w:top w:val="none" w:sz="0" w:space="0" w:color="auto"/>
                <w:left w:val="none" w:sz="0" w:space="0" w:color="auto"/>
                <w:bottom w:val="none" w:sz="0" w:space="0" w:color="auto"/>
                <w:right w:val="none" w:sz="0" w:space="0" w:color="auto"/>
              </w:divBdr>
            </w:div>
          </w:divsChild>
        </w:div>
        <w:div w:id="664019303">
          <w:marLeft w:val="0"/>
          <w:marRight w:val="0"/>
          <w:marTop w:val="0"/>
          <w:marBottom w:val="0"/>
          <w:divBdr>
            <w:top w:val="none" w:sz="0" w:space="0" w:color="auto"/>
            <w:left w:val="none" w:sz="0" w:space="0" w:color="auto"/>
            <w:bottom w:val="none" w:sz="0" w:space="0" w:color="auto"/>
            <w:right w:val="none" w:sz="0" w:space="0" w:color="auto"/>
          </w:divBdr>
          <w:divsChild>
            <w:div w:id="1942569509">
              <w:marLeft w:val="0"/>
              <w:marRight w:val="0"/>
              <w:marTop w:val="0"/>
              <w:marBottom w:val="0"/>
              <w:divBdr>
                <w:top w:val="none" w:sz="0" w:space="0" w:color="auto"/>
                <w:left w:val="none" w:sz="0" w:space="0" w:color="auto"/>
                <w:bottom w:val="none" w:sz="0" w:space="0" w:color="auto"/>
                <w:right w:val="none" w:sz="0" w:space="0" w:color="auto"/>
              </w:divBdr>
              <w:divsChild>
                <w:div w:id="1684896953">
                  <w:marLeft w:val="0"/>
                  <w:marRight w:val="0"/>
                  <w:marTop w:val="0"/>
                  <w:marBottom w:val="0"/>
                  <w:divBdr>
                    <w:top w:val="none" w:sz="0" w:space="0" w:color="auto"/>
                    <w:left w:val="none" w:sz="0" w:space="0" w:color="auto"/>
                    <w:bottom w:val="none" w:sz="0" w:space="0" w:color="auto"/>
                    <w:right w:val="none" w:sz="0" w:space="0" w:color="auto"/>
                  </w:divBdr>
                  <w:divsChild>
                    <w:div w:id="313875502">
                      <w:marLeft w:val="0"/>
                      <w:marRight w:val="0"/>
                      <w:marTop w:val="0"/>
                      <w:marBottom w:val="0"/>
                      <w:divBdr>
                        <w:top w:val="none" w:sz="0" w:space="0" w:color="auto"/>
                        <w:left w:val="none" w:sz="0" w:space="0" w:color="auto"/>
                        <w:bottom w:val="none" w:sz="0" w:space="0" w:color="auto"/>
                        <w:right w:val="none" w:sz="0" w:space="0" w:color="auto"/>
                      </w:divBdr>
                      <w:divsChild>
                        <w:div w:id="2914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FDE47A8C32CAF1B9279F5F86834BD29B97F6FAD8E0B63BBDF3B5CFEF35927047D606717EA35192561C5AB49E9BFD9A62C4A07AB92AC9771AnC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4FDE47A8C32CAF1B9279F5F86834BD29B97F6FAD8E0B63BBDF3B5CFEF35927047D606757CA90DC4104203E7DBD0F09A7DD8A07A1An5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4FDE47A8C32CAF1B9279F5F86834BD29C96FAFCD9ECB63BBDF3B5CFEF35927047D606717EA259955C1C5AB49E9BFD9A62C4A07AB92AC9771AnCF" TargetMode="External"/><Relationship Id="rId11" Type="http://schemas.openxmlformats.org/officeDocument/2006/relationships/hyperlink" Target="consultantplus://offline/ref=E4FDE47A8C32CAF1B9279F5F86834BD29C97FAFAD8E3B63BBDF3B5CFEF35927047D606717EA25994561C5AB49E9BFD9A62C4A07AB92AC9771AnCF" TargetMode="External"/><Relationship Id="rId5" Type="http://schemas.openxmlformats.org/officeDocument/2006/relationships/hyperlink" Target="consultantplus://offline/ref=E4FDE47A8C32CAF1B927834C82F76FD4C19AF9F9D6EFEB31B5AAB9CDE83ACD7540C706727FBC59974A150EE71Dn8F" TargetMode="External"/><Relationship Id="rId10" Type="http://schemas.openxmlformats.org/officeDocument/2006/relationships/hyperlink" Target="consultantplus://offline/ref=E4FDE47A8C32CAF1B9279F5F86834BD29C97FAFAD8E3B63BBDF3B5CFEF35927047D606717EA25994541C5AB49E9BFD9A62C4A07AB92AC9771AnCF" TargetMode="External"/><Relationship Id="rId4" Type="http://schemas.openxmlformats.org/officeDocument/2006/relationships/hyperlink" Target="consultantplus://offline/ref=E4FDE47A8C32CAF1B9279F5F86834BD29E91FDF3D5E4B63BBDF3B5CFEF35927047D606717EA2599D511C5AB49E9BFD9A62C4A07AB92AC9771AnCF" TargetMode="External"/><Relationship Id="rId9" Type="http://schemas.openxmlformats.org/officeDocument/2006/relationships/hyperlink" Target="consultantplus://offline/ref=E4FDE47A8C32CAF1B9279F5F86834BD29B97F6FAD8E0B63BBDF3B5CFEF35927047D606717EA05194511C5AB49E9BFD9A62C4A07AB92AC9771An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МОиН Челябинской области</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ПользовательПК14</dc:creator>
  <cp:keywords/>
  <dc:description/>
  <cp:lastModifiedBy>Ольга</cp:lastModifiedBy>
  <cp:revision>2</cp:revision>
  <dcterms:created xsi:type="dcterms:W3CDTF">2022-02-21T08:57:00Z</dcterms:created>
  <dcterms:modified xsi:type="dcterms:W3CDTF">2022-02-21T08:57:00Z</dcterms:modified>
</cp:coreProperties>
</file>