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DA05" w14:textId="77777777" w:rsidR="00576163" w:rsidRDefault="00576163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14:paraId="08D4F086" w14:textId="77777777" w:rsidR="00576163" w:rsidRDefault="00576163">
      <w:pPr>
        <w:spacing w:after="1" w:line="280" w:lineRule="atLeast"/>
        <w:jc w:val="both"/>
        <w:outlineLvl w:val="0"/>
      </w:pPr>
    </w:p>
    <w:p w14:paraId="6C1BFE26" w14:textId="77777777" w:rsidR="00576163" w:rsidRDefault="00576163">
      <w:pPr>
        <w:spacing w:after="1" w:line="280" w:lineRule="atLeast"/>
        <w:jc w:val="center"/>
      </w:pPr>
      <w:r>
        <w:rPr>
          <w:rFonts w:cs="Times New Roman"/>
          <w:b/>
        </w:rPr>
        <w:t>ГЕНЕРАЛЬНАЯ ПРОКУРАТУРА РОССИЙСКОЙ ФЕДЕРАЦИИ</w:t>
      </w:r>
    </w:p>
    <w:p w14:paraId="08F1DDDC" w14:textId="77777777" w:rsidR="00576163" w:rsidRDefault="00576163">
      <w:pPr>
        <w:spacing w:after="1" w:line="280" w:lineRule="atLeast"/>
        <w:jc w:val="center"/>
      </w:pPr>
    </w:p>
    <w:p w14:paraId="41D903AF" w14:textId="77777777" w:rsidR="00576163" w:rsidRDefault="00576163">
      <w:pPr>
        <w:spacing w:after="1" w:line="280" w:lineRule="atLeast"/>
        <w:jc w:val="center"/>
      </w:pPr>
      <w:r>
        <w:rPr>
          <w:rFonts w:cs="Times New Roman"/>
          <w:b/>
        </w:rPr>
        <w:t>ИНФОРМАЦИОННОЕ ПИСЬМО</w:t>
      </w:r>
    </w:p>
    <w:p w14:paraId="3D6F2458" w14:textId="77777777" w:rsidR="00576163" w:rsidRDefault="00576163">
      <w:pPr>
        <w:spacing w:after="1" w:line="280" w:lineRule="atLeast"/>
        <w:jc w:val="center"/>
      </w:pPr>
      <w:r>
        <w:rPr>
          <w:rFonts w:cs="Times New Roman"/>
          <w:b/>
        </w:rPr>
        <w:t>от 30 марта 2021 г. N 80-10-2021</w:t>
      </w:r>
    </w:p>
    <w:p w14:paraId="6BD220A7" w14:textId="77777777" w:rsidR="00576163" w:rsidRDefault="00576163">
      <w:pPr>
        <w:spacing w:after="1" w:line="280" w:lineRule="atLeast"/>
        <w:jc w:val="center"/>
      </w:pPr>
    </w:p>
    <w:p w14:paraId="773B9AF4" w14:textId="77777777" w:rsidR="00576163" w:rsidRDefault="00576163">
      <w:pPr>
        <w:spacing w:after="1" w:line="280" w:lineRule="atLeast"/>
        <w:jc w:val="center"/>
      </w:pPr>
      <w:r>
        <w:rPr>
          <w:rFonts w:cs="Times New Roman"/>
          <w:b/>
        </w:rPr>
        <w:t>О ПРАВОВОМ РЕГУЛИРОВАНИИ</w:t>
      </w:r>
    </w:p>
    <w:p w14:paraId="44B47F3F" w14:textId="77777777" w:rsidR="00576163" w:rsidRDefault="00576163">
      <w:pPr>
        <w:spacing w:after="1" w:line="280" w:lineRule="atLeast"/>
        <w:jc w:val="center"/>
      </w:pPr>
      <w:r>
        <w:rPr>
          <w:rFonts w:cs="Times New Roman"/>
          <w:b/>
        </w:rPr>
        <w:t>ВОПРОСОВ, СВЯЗАННЫХ С ЦИФРОВЫМИ ФИНАНСОВЫМИ АКТИВАМИ</w:t>
      </w:r>
    </w:p>
    <w:p w14:paraId="5B82706C" w14:textId="77777777" w:rsidR="00576163" w:rsidRDefault="00576163">
      <w:pPr>
        <w:spacing w:after="1" w:line="280" w:lineRule="atLeast"/>
        <w:jc w:val="center"/>
      </w:pPr>
      <w:r>
        <w:rPr>
          <w:rFonts w:cs="Times New Roman"/>
          <w:b/>
        </w:rPr>
        <w:t>И ЦИФРОВОЙ ВАЛЮТОЙ</w:t>
      </w:r>
    </w:p>
    <w:p w14:paraId="361FC596" w14:textId="77777777" w:rsidR="00576163" w:rsidRDefault="00576163">
      <w:pPr>
        <w:spacing w:after="1" w:line="280" w:lineRule="atLeast"/>
        <w:jc w:val="both"/>
      </w:pPr>
    </w:p>
    <w:p w14:paraId="7BEBE9F9" w14:textId="77777777" w:rsidR="00576163" w:rsidRDefault="00576163">
      <w:pPr>
        <w:spacing w:after="1" w:line="280" w:lineRule="atLeast"/>
        <w:ind w:firstLine="540"/>
        <w:jc w:val="both"/>
      </w:pPr>
      <w:r>
        <w:rPr>
          <w:rFonts w:cs="Times New Roman"/>
        </w:rPr>
        <w:t xml:space="preserve">Вступившим в силу 01.01.2021 (за исключением отдельных положений) Федеральным </w:t>
      </w:r>
      <w:hyperlink r:id="rId5" w:history="1">
        <w:r>
          <w:rPr>
            <w:rFonts w:cs="Times New Roman"/>
            <w:color w:val="0000FF"/>
          </w:rPr>
          <w:t>законом</w:t>
        </w:r>
      </w:hyperlink>
      <w:r>
        <w:rPr>
          <w:rFonts w:cs="Times New Roman"/>
        </w:rPr>
        <w:t xml:space="preserve"> от 31.07.2020 N 259-ФЗ "О цифровых финансовых активах, цифровой валюте и о внесении изменений в отдельные законодательные акты Российской Федерации" (далее - Федеральный закон N 259-ФЗ) и принятым в целях его реализации </w:t>
      </w:r>
      <w:hyperlink r:id="rId6" w:history="1">
        <w:r>
          <w:rPr>
            <w:rFonts w:cs="Times New Roman"/>
            <w:color w:val="0000FF"/>
          </w:rPr>
          <w:t>Указом</w:t>
        </w:r>
      </w:hyperlink>
      <w:r>
        <w:rPr>
          <w:rFonts w:cs="Times New Roman"/>
        </w:rPr>
        <w:t xml:space="preserve"> Президента Российской Федерации от 10.12.2020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 (далее - Указ N 778) внесены изменения в отдельные законодательные акты, которые в том числе затрагивают вопросы противодействия коррупции.</w:t>
      </w:r>
    </w:p>
    <w:p w14:paraId="247BF789" w14:textId="77777777" w:rsidR="00576163" w:rsidRDefault="00576163">
      <w:pPr>
        <w:spacing w:before="280" w:after="1" w:line="280" w:lineRule="atLeast"/>
        <w:ind w:firstLine="540"/>
        <w:jc w:val="both"/>
      </w:pPr>
      <w:r>
        <w:rPr>
          <w:rFonts w:cs="Times New Roman"/>
        </w:rPr>
        <w:t xml:space="preserve">Так, </w:t>
      </w:r>
      <w:hyperlink r:id="rId7" w:history="1">
        <w:r>
          <w:rPr>
            <w:rFonts w:cs="Times New Roman"/>
            <w:color w:val="0000FF"/>
          </w:rPr>
          <w:t>часть 2 статьи 1</w:t>
        </w:r>
      </w:hyperlink>
      <w:r>
        <w:rPr>
          <w:rFonts w:cs="Times New Roman"/>
        </w:rPr>
        <w:t xml:space="preserve"> Федерального закона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N 79-ФЗ) дополнена </w:t>
      </w:r>
      <w:hyperlink r:id="rId8" w:history="1">
        <w:r>
          <w:rPr>
            <w:rFonts w:cs="Times New Roman"/>
            <w:color w:val="0000FF"/>
          </w:rPr>
          <w:t>пунктом 7</w:t>
        </w:r>
      </w:hyperlink>
      <w:r>
        <w:rPr>
          <w:rFonts w:cs="Times New Roman"/>
        </w:rPr>
        <w:t>, согласно которому с 01.01.2021 к иностранным финансовым инструментам отнесены цифровые финансовые активы, выпущенные в информационных системах, организованных в соответствии с иностранным правом, и цифровая валюта.</w:t>
      </w:r>
    </w:p>
    <w:p w14:paraId="42D402D5" w14:textId="77777777" w:rsidR="00576163" w:rsidRDefault="0057616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6163" w14:paraId="52F25E5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D8AD5" w14:textId="77777777" w:rsidR="00576163" w:rsidRDefault="0057616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3E4F9" w14:textId="77777777" w:rsidR="00576163" w:rsidRDefault="0057616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B3E4E5" w14:textId="77777777" w:rsidR="00576163" w:rsidRDefault="00576163">
            <w:pPr>
              <w:spacing w:after="1" w:line="280" w:lineRule="atLeast"/>
              <w:jc w:val="both"/>
            </w:pPr>
            <w:r>
              <w:rPr>
                <w:rFonts w:cs="Times New Roman"/>
                <w:color w:val="392C69"/>
              </w:rPr>
              <w:t>КонсультантПлюс: примечание.</w:t>
            </w:r>
          </w:p>
          <w:p w14:paraId="20610720" w14:textId="77777777" w:rsidR="00576163" w:rsidRDefault="00576163">
            <w:pPr>
              <w:spacing w:after="1" w:line="280" w:lineRule="atLeast"/>
              <w:jc w:val="both"/>
            </w:pPr>
            <w:r>
              <w:rPr>
                <w:rFonts w:cs="Times New Roman"/>
                <w:color w:val="392C69"/>
              </w:rPr>
              <w:t>В официальном тексте документа, видимо, допущена опечатка: имеется в виду "частями 1 и 3 статьи 3", а не "частями 1 и 3".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B199C" w14:textId="77777777" w:rsidR="00576163" w:rsidRDefault="00576163">
            <w:pPr>
              <w:spacing w:after="1" w:line="0" w:lineRule="atLeast"/>
            </w:pPr>
          </w:p>
        </w:tc>
      </w:tr>
    </w:tbl>
    <w:p w14:paraId="371A4CA8" w14:textId="77777777" w:rsidR="00576163" w:rsidRDefault="00576163">
      <w:pPr>
        <w:spacing w:before="360" w:after="1" w:line="280" w:lineRule="atLeast"/>
        <w:ind w:firstLine="540"/>
        <w:jc w:val="both"/>
      </w:pPr>
      <w:r>
        <w:rPr>
          <w:rFonts w:cs="Times New Roman"/>
        </w:rPr>
        <w:t xml:space="preserve">Требованиями, установленными </w:t>
      </w:r>
      <w:hyperlink r:id="rId9" w:history="1">
        <w:r>
          <w:rPr>
            <w:rFonts w:cs="Times New Roman"/>
            <w:color w:val="0000FF"/>
          </w:rPr>
          <w:t>частью 6 статьи 27</w:t>
        </w:r>
      </w:hyperlink>
      <w:r>
        <w:rPr>
          <w:rFonts w:cs="Times New Roman"/>
        </w:rPr>
        <w:t xml:space="preserve"> Федерального закона N 259-ФЗ, </w:t>
      </w:r>
      <w:hyperlink r:id="rId10" w:history="1">
        <w:r>
          <w:rPr>
            <w:rFonts w:cs="Times New Roman"/>
            <w:color w:val="0000FF"/>
          </w:rPr>
          <w:t>частью 1 статьи 2</w:t>
        </w:r>
      </w:hyperlink>
      <w:r>
        <w:rPr>
          <w:rFonts w:cs="Times New Roman"/>
        </w:rPr>
        <w:t xml:space="preserve"> и </w:t>
      </w:r>
      <w:hyperlink r:id="rId11" w:history="1">
        <w:r>
          <w:rPr>
            <w:rFonts w:cs="Times New Roman"/>
            <w:color w:val="0000FF"/>
          </w:rPr>
          <w:t>частями 1</w:t>
        </w:r>
      </w:hyperlink>
      <w:r>
        <w:rPr>
          <w:rFonts w:cs="Times New Roman"/>
        </w:rPr>
        <w:t xml:space="preserve"> и </w:t>
      </w:r>
      <w:hyperlink r:id="rId12" w:history="1">
        <w:r>
          <w:rPr>
            <w:rFonts w:cs="Times New Roman"/>
            <w:color w:val="0000FF"/>
          </w:rPr>
          <w:t>3</w:t>
        </w:r>
      </w:hyperlink>
      <w:r>
        <w:rPr>
          <w:rFonts w:cs="Times New Roman"/>
        </w:rPr>
        <w:t xml:space="preserve"> Федерального закона N 79-ФЗ, в органах и организациях прокуратуры Российской Федерации (далее - органы и организации прокуратуры) на лиц, замещающих должности федеральной государственной службы, назначение на которые и освобождение от которых </w:t>
      </w:r>
      <w:r>
        <w:rPr>
          <w:rFonts w:cs="Times New Roman"/>
        </w:rPr>
        <w:lastRenderedPageBreak/>
        <w:t xml:space="preserve">осуществляются Президентом Российской Федерации или Генеральным прокурором Российской Федерации, а также должности, входящие в </w:t>
      </w:r>
      <w:hyperlink r:id="rId13" w:history="1">
        <w:r>
          <w:rPr>
            <w:rFonts w:cs="Times New Roman"/>
            <w:color w:val="0000FF"/>
          </w:rPr>
          <w:t>перечень</w:t>
        </w:r>
      </w:hyperlink>
      <w:r>
        <w:rPr>
          <w:rFonts w:cs="Times New Roman"/>
        </w:rPr>
        <w:t>, установленный приказом Генерального прокурора Российской Федерации от 29.05.2015 N 268 "Об утверждении перечня должностей федеральной государственной службы в системе прокуратуры Российской Федерации, при замещении которых федеральным государственным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возлагается обязанность до 01.04.2021 осуществить отчуждение цифровых финансовых активов, выпущенных в информационных системах, организованных в соответствии с иностранным правом, цифровой валюты (вне зависимости от страны выпуска), а также прекратить доверительное управление имуществом, которое предусматривает инвестирование в названные иностранные финансовые инструменты.</w:t>
      </w:r>
    </w:p>
    <w:p w14:paraId="06FB9816" w14:textId="77777777" w:rsidR="00576163" w:rsidRDefault="00576163">
      <w:pPr>
        <w:spacing w:before="280" w:after="1" w:line="280" w:lineRule="atLeast"/>
        <w:ind w:firstLine="540"/>
        <w:jc w:val="both"/>
      </w:pPr>
      <w:r>
        <w:rPr>
          <w:rFonts w:cs="Times New Roman"/>
        </w:rPr>
        <w:t xml:space="preserve">При принятии кадровых решений следует иметь в виду, что согласно </w:t>
      </w:r>
      <w:hyperlink r:id="rId14" w:history="1">
        <w:r>
          <w:rPr>
            <w:rFonts w:cs="Times New Roman"/>
            <w:color w:val="0000FF"/>
          </w:rPr>
          <w:t>Указу</w:t>
        </w:r>
      </w:hyperlink>
      <w:r>
        <w:rPr>
          <w:rFonts w:cs="Times New Roman"/>
        </w:rPr>
        <w:t xml:space="preserve"> N 778 гражданами, претендующими на замещение должностей федеральной государственной службы, в период с 1 января по 30 июня 2021 г. сведения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 (при их наличии) представляются в виде отдельного уведомления (</w:t>
      </w:r>
      <w:hyperlink r:id="rId15" w:history="1">
        <w:r>
          <w:rPr>
            <w:rFonts w:cs="Times New Roman"/>
            <w:color w:val="0000FF"/>
          </w:rPr>
          <w:t>приложение N 1</w:t>
        </w:r>
      </w:hyperlink>
      <w:r>
        <w:rPr>
          <w:rFonts w:cs="Times New Roman"/>
        </w:rPr>
        <w:t xml:space="preserve"> к Указу N 778).</w:t>
      </w:r>
    </w:p>
    <w:p w14:paraId="7D06294E" w14:textId="77777777" w:rsidR="00576163" w:rsidRDefault="00576163">
      <w:pPr>
        <w:spacing w:before="280" w:after="1" w:line="280" w:lineRule="atLeast"/>
        <w:ind w:firstLine="540"/>
        <w:jc w:val="both"/>
      </w:pPr>
      <w:r>
        <w:rPr>
          <w:rFonts w:cs="Times New Roman"/>
        </w:rPr>
        <w:t xml:space="preserve">Аналогичные уведомления представляются федеральными государственными гражданскими служащими, замещающими должности, не предусмотренные </w:t>
      </w:r>
      <w:hyperlink r:id="rId16" w:history="1">
        <w:r>
          <w:rPr>
            <w:rFonts w:cs="Times New Roman"/>
            <w:color w:val="0000FF"/>
          </w:rPr>
          <w:t>перечнем</w:t>
        </w:r>
      </w:hyperlink>
      <w:r>
        <w:rPr>
          <w:rFonts w:cs="Times New Roman"/>
        </w:rPr>
        <w:t xml:space="preserve"> должностей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Генерального прокурора Российской Федерации от 29.10.2015 N 603, и перечнями, устанавливаемыми прокурорами субъектов Российской Федерации и приравненными к ним прокурорами специализированных прокуратур во исполнение </w:t>
      </w:r>
      <w:hyperlink r:id="rId17" w:history="1">
        <w:r>
          <w:rPr>
            <w:rFonts w:cs="Times New Roman"/>
            <w:color w:val="0000FF"/>
          </w:rPr>
          <w:t>пункта 2</w:t>
        </w:r>
      </w:hyperlink>
      <w:r>
        <w:rPr>
          <w:rFonts w:cs="Times New Roman"/>
        </w:rPr>
        <w:t xml:space="preserve"> указанного приказа Генерального прокурора Российской Федерации, и претендующими на замещение должностей федеральной государственной службы, предусмотренных названными перечнями.</w:t>
      </w:r>
    </w:p>
    <w:p w14:paraId="706B80B5" w14:textId="77777777" w:rsidR="00576163" w:rsidRDefault="00576163">
      <w:pPr>
        <w:spacing w:before="280" w:after="1" w:line="280" w:lineRule="atLeast"/>
        <w:ind w:firstLine="540"/>
        <w:jc w:val="both"/>
      </w:pPr>
      <w:r>
        <w:rPr>
          <w:rFonts w:cs="Times New Roman"/>
        </w:rPr>
        <w:lastRenderedPageBreak/>
        <w:t xml:space="preserve">В силу </w:t>
      </w:r>
      <w:hyperlink r:id="rId18" w:history="1">
        <w:r>
          <w:rPr>
            <w:rFonts w:cs="Times New Roman"/>
            <w:color w:val="0000FF"/>
          </w:rPr>
          <w:t>пункта 3</w:t>
        </w:r>
      </w:hyperlink>
      <w:r>
        <w:rPr>
          <w:rFonts w:cs="Times New Roman"/>
        </w:rPr>
        <w:t xml:space="preserve"> Указа N 778 уведомление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14:paraId="673584D5" w14:textId="77777777" w:rsidR="00576163" w:rsidRDefault="00576163">
      <w:pPr>
        <w:spacing w:before="280" w:after="1" w:line="280" w:lineRule="atLeast"/>
        <w:ind w:firstLine="540"/>
        <w:jc w:val="both"/>
      </w:pPr>
      <w:r>
        <w:rPr>
          <w:rFonts w:cs="Times New Roman"/>
        </w:rPr>
        <w:t xml:space="preserve">Согласно рекомендациям </w:t>
      </w:r>
      <w:hyperlink r:id="rId19" w:history="1">
        <w:r>
          <w:rPr>
            <w:rFonts w:cs="Times New Roman"/>
            <w:color w:val="0000FF"/>
          </w:rPr>
          <w:t>письма</w:t>
        </w:r>
      </w:hyperlink>
      <w:r>
        <w:rPr>
          <w:rFonts w:cs="Times New Roman"/>
        </w:rPr>
        <w:t xml:space="preserve"> Минтруда России от 20.02.2021 N 18-2/10/П-1330 уведомление подается в отношении каждого лица, чьи сведения о доходах, об имуществе и обязательствах имущественного характера представляются, при условии наличия у такого лица цифровых финансовых активов, цифровых прав, включающих одновременно цифровые финансовые активы и иные цифровые права, утилитарных цифровых прав и цифровой валюты. При их отсутствии уведомление не подается.</w:t>
      </w:r>
    </w:p>
    <w:p w14:paraId="0B35BA92" w14:textId="77777777" w:rsidR="00576163" w:rsidRDefault="00576163">
      <w:pPr>
        <w:spacing w:before="280" w:after="1" w:line="280" w:lineRule="atLeast"/>
        <w:ind w:firstLine="540"/>
        <w:jc w:val="both"/>
      </w:pPr>
      <w:r>
        <w:rPr>
          <w:rFonts w:cs="Times New Roman"/>
        </w:rPr>
        <w:t xml:space="preserve">В соответствии с </w:t>
      </w:r>
      <w:hyperlink r:id="rId20" w:history="1">
        <w:r>
          <w:rPr>
            <w:rFonts w:cs="Times New Roman"/>
            <w:color w:val="0000FF"/>
          </w:rPr>
          <w:t>пунктом 6</w:t>
        </w:r>
      </w:hyperlink>
      <w:r>
        <w:rPr>
          <w:rFonts w:cs="Times New Roman"/>
        </w:rPr>
        <w:t xml:space="preserve"> Указа N 778 и </w:t>
      </w:r>
      <w:hyperlink r:id="rId21" w:history="1">
        <w:r>
          <w:rPr>
            <w:rFonts w:cs="Times New Roman"/>
            <w:color w:val="0000FF"/>
          </w:rPr>
          <w:t>пунктом 6</w:t>
        </w:r>
      </w:hyperlink>
      <w:r>
        <w:rPr>
          <w:rFonts w:cs="Times New Roman"/>
        </w:rPr>
        <w:t xml:space="preserve"> приложения N 2 к этому Указу с 1 июля 2021 г. данные о цифровых финансовых активах, правах и валюте необходимо подавать в составе обновленной справки о доходах, расходах, имуществе и обязательствах имущественного характера (далее - справка о доходах), </w:t>
      </w:r>
      <w:hyperlink r:id="rId22" w:history="1">
        <w:r>
          <w:rPr>
            <w:rFonts w:cs="Times New Roman"/>
            <w:color w:val="0000FF"/>
          </w:rPr>
          <w:t>форма</w:t>
        </w:r>
      </w:hyperlink>
      <w:r>
        <w:rPr>
          <w:rFonts w:cs="Times New Roman"/>
        </w:rPr>
        <w:t xml:space="preserve"> которой утверждена Указом Президента Российской Федерации от 23.06.2014 N 460.</w:t>
      </w:r>
    </w:p>
    <w:p w14:paraId="274328B1" w14:textId="77777777" w:rsidR="00576163" w:rsidRDefault="00576163">
      <w:pPr>
        <w:spacing w:before="280" w:after="1" w:line="280" w:lineRule="atLeast"/>
        <w:ind w:firstLine="540"/>
        <w:jc w:val="both"/>
      </w:pPr>
      <w:r>
        <w:rPr>
          <w:rFonts w:cs="Times New Roman"/>
        </w:rPr>
        <w:t>В рамках декларационной кампании 2021 года при представлении справок о доходах отражать информацию о цифровых финансовых активах и цифровой валюте по состоянию на 31 декабря 2020 г., а также сообщать о сделках по приобретению цифровых финансовых активов и цифровой валюты, совершенных в 2020 году, не требуется.</w:t>
      </w:r>
    </w:p>
    <w:p w14:paraId="567CC3E0" w14:textId="77777777" w:rsidR="00576163" w:rsidRDefault="00576163">
      <w:pPr>
        <w:spacing w:before="280" w:after="1" w:line="280" w:lineRule="atLeast"/>
        <w:ind w:firstLine="540"/>
        <w:jc w:val="both"/>
      </w:pPr>
      <w:r>
        <w:rPr>
          <w:rFonts w:cs="Times New Roman"/>
        </w:rPr>
        <w:t xml:space="preserve">Принимая во внимание изложенное, руководителям органов и организаций прокуратуры довести содержание внесенных в законодательство изменений до сведения подчиненных работников, обеспечить контроль за их реализацией в практической деятельности с учетом информационного </w:t>
      </w:r>
      <w:hyperlink r:id="rId23" w:history="1">
        <w:r>
          <w:rPr>
            <w:rFonts w:cs="Times New Roman"/>
            <w:color w:val="0000FF"/>
          </w:rPr>
          <w:t>письма</w:t>
        </w:r>
      </w:hyperlink>
      <w:r>
        <w:rPr>
          <w:rFonts w:cs="Times New Roman"/>
        </w:rPr>
        <w:t xml:space="preserve"> Минтруда России от 16.12.2020 N 18-2/10/В-12085 "О возможности приобретения цифровых финансовых активов и цифровой валюты и владения ими отдельными категориями лиц" и </w:t>
      </w:r>
      <w:hyperlink r:id="rId24" w:history="1">
        <w:r>
          <w:rPr>
            <w:rFonts w:cs="Times New Roman"/>
            <w:color w:val="0000FF"/>
          </w:rPr>
          <w:t>письма</w:t>
        </w:r>
      </w:hyperlink>
      <w:r>
        <w:rPr>
          <w:rFonts w:cs="Times New Roman"/>
        </w:rPr>
        <w:t xml:space="preserve"> Минтруда России от 20.02.2021 N 18-2/10/П-1330.</w:t>
      </w:r>
    </w:p>
    <w:p w14:paraId="0B733D59" w14:textId="77777777" w:rsidR="00576163" w:rsidRDefault="00576163">
      <w:pPr>
        <w:spacing w:after="1" w:line="280" w:lineRule="atLeast"/>
        <w:jc w:val="both"/>
      </w:pPr>
    </w:p>
    <w:p w14:paraId="5F05320F" w14:textId="77777777" w:rsidR="00576163" w:rsidRDefault="00576163">
      <w:pPr>
        <w:spacing w:after="1" w:line="280" w:lineRule="atLeast"/>
        <w:jc w:val="right"/>
      </w:pPr>
      <w:r>
        <w:rPr>
          <w:rFonts w:cs="Times New Roman"/>
        </w:rPr>
        <w:t>Заместитель Генерального прокурора</w:t>
      </w:r>
    </w:p>
    <w:p w14:paraId="655E422A" w14:textId="77777777" w:rsidR="00576163" w:rsidRDefault="00576163">
      <w:pPr>
        <w:spacing w:after="1" w:line="280" w:lineRule="atLeast"/>
        <w:jc w:val="right"/>
      </w:pPr>
      <w:r>
        <w:rPr>
          <w:rFonts w:cs="Times New Roman"/>
        </w:rPr>
        <w:t>Российской Федерации</w:t>
      </w:r>
    </w:p>
    <w:p w14:paraId="6C1D217E" w14:textId="77777777" w:rsidR="00576163" w:rsidRDefault="00576163">
      <w:pPr>
        <w:spacing w:after="1" w:line="280" w:lineRule="atLeast"/>
        <w:jc w:val="right"/>
      </w:pPr>
      <w:r>
        <w:rPr>
          <w:rFonts w:cs="Times New Roman"/>
        </w:rPr>
        <w:t>Ю.А.ПОНОМАРЕВ</w:t>
      </w:r>
    </w:p>
    <w:p w14:paraId="349ACF9E" w14:textId="77777777" w:rsidR="00576163" w:rsidRDefault="00576163">
      <w:pPr>
        <w:spacing w:after="1" w:line="280" w:lineRule="atLeast"/>
        <w:jc w:val="both"/>
      </w:pPr>
    </w:p>
    <w:p w14:paraId="321BA928" w14:textId="77777777" w:rsidR="00576163" w:rsidRDefault="00576163">
      <w:pPr>
        <w:spacing w:after="1" w:line="280" w:lineRule="atLeast"/>
        <w:jc w:val="both"/>
      </w:pPr>
    </w:p>
    <w:p w14:paraId="6A352551" w14:textId="77777777" w:rsidR="00576163" w:rsidRDefault="00576163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3E580B3" w14:textId="77777777" w:rsidR="00BA3286" w:rsidRDefault="00BA3286"/>
    <w:sectPr w:rsidR="00BA3286" w:rsidSect="000E5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78"/>
    <w:rsid w:val="000808F1"/>
    <w:rsid w:val="00576163"/>
    <w:rsid w:val="00937778"/>
    <w:rsid w:val="00BA3286"/>
    <w:rsid w:val="00D6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155E"/>
  <w15:docId w15:val="{3C199FC3-7210-4F12-ACFC-2CFC67D2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8F1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0808F1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808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uiPriority w:val="22"/>
    <w:qFormat/>
    <w:rsid w:val="000808F1"/>
    <w:rPr>
      <w:b/>
      <w:bCs/>
    </w:rPr>
  </w:style>
  <w:style w:type="paragraph" w:styleId="a4">
    <w:name w:val="No Spacing"/>
    <w:uiPriority w:val="1"/>
    <w:qFormat/>
    <w:rsid w:val="000808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808F1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D71780D4F8A600923D1F88ECE73671F06B30A6472A7A87DAE392F8CB84D284D5729ED2D98125D9ABA4D1DC95BEC5FF9282DFCAyCN5I" TargetMode="External"/><Relationship Id="rId13" Type="http://schemas.openxmlformats.org/officeDocument/2006/relationships/hyperlink" Target="consultantplus://offline/ref=14D71780D4F8A600923D1F88ECE73671F26B34AE43217A87DAE392F8CB84D284D5729ED1DB8A7189EEFA888CD5F5C8F9889EDFCFD92CF804y2NCI" TargetMode="External"/><Relationship Id="rId18" Type="http://schemas.openxmlformats.org/officeDocument/2006/relationships/hyperlink" Target="consultantplus://offline/ref=14D71780D4F8A600923D1F88ECE73671F06435A3412C7A87DAE392F8CB84D284D5729ED1DB8A7188E6FA888CD5F5C8F9889EDFCFD92CF804y2NC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4D71780D4F8A600923D1F88ECE73671F06435A3412C7A87DAE392F8CB84D284D5729ED1DB8A7180ECFA888CD5F5C8F9889EDFCFD92CF804y2NCI" TargetMode="External"/><Relationship Id="rId7" Type="http://schemas.openxmlformats.org/officeDocument/2006/relationships/hyperlink" Target="consultantplus://offline/ref=14D71780D4F8A600923D1F88ECE73671F06B30A6472A7A87DAE392F8CB84D284D5729ED6D0DE20CCBAFCDDD98FA0C2E68E80DDyCNAI" TargetMode="External"/><Relationship Id="rId12" Type="http://schemas.openxmlformats.org/officeDocument/2006/relationships/hyperlink" Target="consultantplus://offline/ref=14D71780D4F8A600923D1F88ECE73671F06B30A6472A7A87DAE392F8CB84D284D5729ED1DB8A718AE7FA888CD5F5C8F9889EDFCFD92CF804y2NCI" TargetMode="External"/><Relationship Id="rId17" Type="http://schemas.openxmlformats.org/officeDocument/2006/relationships/hyperlink" Target="consultantplus://offline/ref=14D71780D4F8A600923D1F88ECE73671F06B33A74D297A87DAE392F8CB84D284D5729ED1DB8A708FE9FA888CD5F5C8F9889EDFCFD92CF804y2NC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4D71780D4F8A600923D1F88ECE73671F06B33A74D297A87DAE392F8CB84D284D5729ED1DB8A7189E9FA888CD5F5C8F9889EDFCFD92CF804y2NCI" TargetMode="External"/><Relationship Id="rId20" Type="http://schemas.openxmlformats.org/officeDocument/2006/relationships/hyperlink" Target="consultantplus://offline/ref=14D71780D4F8A600923D1F88ECE73671F06435A3412C7A87DAE392F8CB84D284D5729ED1DB8A7189EDFA888CD5F5C8F9889EDFCFD92CF804y2N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4D71780D4F8A600923D1F88ECE73671F06435A3412C7A87DAE392F8CB84D284C772C6DDDA8E6F88E8EFDEDD93yAN2I" TargetMode="External"/><Relationship Id="rId11" Type="http://schemas.openxmlformats.org/officeDocument/2006/relationships/hyperlink" Target="consultantplus://offline/ref=14D71780D4F8A600923D1F88ECE73671F06B30A6472A7A87DAE392F8CB84D284D5729ED1DB8A718AE9FA888CD5F5C8F9889EDFCFD92CF804y2NCI" TargetMode="External"/><Relationship Id="rId24" Type="http://schemas.openxmlformats.org/officeDocument/2006/relationships/hyperlink" Target="consultantplus://offline/ref=14D71780D4F8A600923D1F88ECE73671F0643DA54D287A87DAE392F8CB84D284C772C6DDDA8E6F88E8EFDEDD93yAN2I" TargetMode="External"/><Relationship Id="rId5" Type="http://schemas.openxmlformats.org/officeDocument/2006/relationships/hyperlink" Target="consultantplus://offline/ref=14D71780D4F8A600923D1F88ECE73671F0663DA1412B7A87DAE392F8CB84D284C772C6DDDA8E6F88E8EFDEDD93yAN2I" TargetMode="External"/><Relationship Id="rId15" Type="http://schemas.openxmlformats.org/officeDocument/2006/relationships/hyperlink" Target="consultantplus://offline/ref=14D71780D4F8A600923D1F88ECE73671F06435A3412C7A87DAE392F8CB84D284D5729ED1DB8A7189E8FA888CD5F5C8F9889EDFCFD92CF804y2NCI" TargetMode="External"/><Relationship Id="rId23" Type="http://schemas.openxmlformats.org/officeDocument/2006/relationships/hyperlink" Target="consultantplus://offline/ref=14D71780D4F8A600923D1F88ECE73671F06434A4442E7A87DAE392F8CB84D284C772C6DDDA8E6F88E8EFDEDD93yAN2I" TargetMode="External"/><Relationship Id="rId10" Type="http://schemas.openxmlformats.org/officeDocument/2006/relationships/hyperlink" Target="consultantplus://offline/ref=14D71780D4F8A600923D1F88ECE73671F06B30A6472A7A87DAE392F8CB84D284D5729ED1DB8A7189EEFA888CD5F5C8F9889EDFCFD92CF804y2NCI" TargetMode="External"/><Relationship Id="rId19" Type="http://schemas.openxmlformats.org/officeDocument/2006/relationships/hyperlink" Target="consultantplus://offline/ref=14D71780D4F8A600923D1F88ECE73671F0643DA54D287A87DAE392F8CB84D284C772C6DDDA8E6F88E8EFDEDD93yAN2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4D71780D4F8A600923D1F88ECE73671F0663DA1412B7A87DAE392F8CB84D284D5729ED1DB8A7588EEFA888CD5F5C8F9889EDFCFD92CF804y2NCI" TargetMode="External"/><Relationship Id="rId14" Type="http://schemas.openxmlformats.org/officeDocument/2006/relationships/hyperlink" Target="consultantplus://offline/ref=14D71780D4F8A600923D1F88ECE73671F06435A3412C7A87DAE392F8CB84D284D5729ED1DB8A7188E8FA888CD5F5C8F9889EDFCFD92CF804y2NCI" TargetMode="External"/><Relationship Id="rId22" Type="http://schemas.openxmlformats.org/officeDocument/2006/relationships/hyperlink" Target="consultantplus://offline/ref=14D71780D4F8A600923D1F88ECE73671F06435AE4D297A87DAE392F8CB84D284D5729ED1DB8A718CEAFA888CD5F5C8F9889EDFCFD92CF804y2N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1437</Words>
  <Characters>8191</Characters>
  <Application>Microsoft Office Word</Application>
  <DocSecurity>0</DocSecurity>
  <Lines>68</Lines>
  <Paragraphs>19</Paragraphs>
  <ScaleCrop>false</ScaleCrop>
  <Company>МОиН Челябинской области</Company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ПользовательПК12</dc:creator>
  <cp:keywords/>
  <dc:description/>
  <cp:lastModifiedBy>User</cp:lastModifiedBy>
  <cp:revision>2</cp:revision>
  <dcterms:created xsi:type="dcterms:W3CDTF">2022-12-07T07:07:00Z</dcterms:created>
  <dcterms:modified xsi:type="dcterms:W3CDTF">2022-12-07T07:07:00Z</dcterms:modified>
</cp:coreProperties>
</file>