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F6" w:rsidRPr="000909F6" w:rsidRDefault="000909F6" w:rsidP="000909F6">
      <w:pPr>
        <w:spacing w:line="240" w:lineRule="auto"/>
        <w:ind w:firstLine="0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Правовые основы противодействия коррупции в Российской Федерации</w:t>
      </w:r>
    </w:p>
    <w:p w:rsidR="000909F6" w:rsidRPr="000909F6" w:rsidRDefault="000909F6" w:rsidP="000909F6">
      <w:pPr>
        <w:spacing w:line="240" w:lineRule="auto"/>
        <w:ind w:firstLine="0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hyperlink r:id="rId4" w:history="1">
        <w:proofErr w:type="gramStart"/>
        <w:r w:rsidRPr="000909F6">
          <w:rPr>
            <w:rFonts w:ascii="Verdana" w:eastAsia="Times New Roman" w:hAnsi="Verdana" w:cs="Times New Roman"/>
            <w:color w:val="DC3700"/>
            <w:sz w:val="20"/>
            <w:u w:val="single"/>
            <w:lang w:eastAsia="ru-RU"/>
          </w:rPr>
          <w:t>Указом Президента Российской Федерации от 13.04.2010 года № 460</w:t>
        </w:r>
      </w:hyperlink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«О Национальной стратегии противодействия коррупции и Национальном плане противодействия коррупции на 2010-2011 годы» утверждена Национальная стратегия противодействия коррупции, которая представляет собой постоянно совершенствуемую систему мер организационного, экономического, правового, информационного и кадрового характера, учитывающую федеративное устройство России, охватывающую федеральный, региональный и муниципальный уровни, направленную на устранение коренных причин коррупции в обществе и последовательно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реализуемую федеральными органами государственной власти, иными государственными органами, органами государственной власти субъектов РФ, органами местно самоуправления, институтами гражданского общества, организациями и физическими лицами.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Стратегия содержит план действий, как правило, разрабатываемый на краткосрочную перспективу. Так,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5" w:history="1">
        <w:r w:rsidRPr="000909F6">
          <w:rPr>
            <w:rFonts w:ascii="Verdana" w:eastAsia="Times New Roman" w:hAnsi="Verdana" w:cs="Times New Roman"/>
            <w:color w:val="DC3700"/>
            <w:sz w:val="20"/>
            <w:u w:val="single"/>
            <w:lang w:eastAsia="ru-RU"/>
          </w:rPr>
          <w:t>Указом Президента РФ от 13.03.2012 г. № 297</w:t>
        </w:r>
      </w:hyperlink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был утверждён Национальный календарь противодействия коррупции на 2012-2013 годы.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Центральное место в правовых основах борьбы с коррупцией занимает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6" w:history="1">
        <w:r w:rsidRPr="000909F6">
          <w:rPr>
            <w:rFonts w:ascii="Verdana" w:eastAsia="Times New Roman" w:hAnsi="Verdana" w:cs="Times New Roman"/>
            <w:color w:val="DC3700"/>
            <w:sz w:val="20"/>
            <w:u w:val="single"/>
            <w:lang w:eastAsia="ru-RU"/>
          </w:rPr>
          <w:t>Федеральный закон от 25.12.2008 г. № 273-ФЗ «О противодействии коррупции»</w:t>
        </w:r>
      </w:hyperlink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(в редакции от 30.09.2013 г.). Федеральный закон «О противодействии коррупции» содержит основной понятийный аппарат в целях квалифицирования преступных деяний.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Согласно статьи 1 закона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коррупция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это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указанному лицу другими физическими лицами».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Федеральном законе «О противодействии коррупции» определяется, что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противодействие коррупции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деятельность федеральных органов государственной власти, органов государственной власти субъектов РФ, органов местного самоуправления и иных руководителей структурных подразделений, институтов гражданского общества, организаций и физических лиц по профилактике и борьбе с коррупцией осуществляется в пределах их полномочий.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Одним их ключевых направлений деятельности по повышению эффективности противодействия коррупции является совершенствование системы и структуры государственных органов, создание механизмов общественного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деятельностью.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статье 5 Федерального закона «О противодействии коррупции» закреплены организационные основы противодействия коррупции. Ключевой фигурой является Президент РФ, который в соответствии с Конституцией РФ определяет основные направления государственной политики, в том числе в области противодействия коррупции.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статье 9 Федерального закона «О противодействии коррупции» чётко прослеживается антикоррупционное начало, которое должно исходить от самого служащего: «государственный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правонарушений». Данное действие возможно только при хорошо развитых институтах гражданского общества, высокой культуре правосознания, хорошем экономическом содержании должностного лица и при его стимулировании в случае исполнения данного юридического поступка.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служебная проверка, является должностной обязанностью государственного или муниципального служащего. Её невыполнение является правонарушением, влекущим увольнение либо привлечение к иным видам ответственности в соответствии с законодательством РФ.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Государственный или муниципальный служащий,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РФ.</w:t>
      </w:r>
      <w:proofErr w:type="gramEnd"/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прохождении государственной или муниципальной службы может возникнуть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конфликт интересов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Статья 10 Федерального закона «О противодействии коррупции» описывает его как ситуацию, «при которой личная заинтересованность (прямая или косвенная) государственного или муниципального служащего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влияет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государства».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Данные деяния могут выражаться в виде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Государственный или муниципальный служащий обязан в письменной форме уведомить своего непосредственного начальника о конфликте интересов или о возможности его возникновения, как только ему станет об этом известно.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в отказе его от выгоды, явившейся причиной возникновения конфликта интересов. Непринятие служащим мер по предотвращению или урегулированию конфликта интересов является правонарушением, влекущим его увольнение в соответствии с законодательством РФ.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Пункт 33 статьи 2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7" w:history="1">
        <w:r w:rsidRPr="000909F6">
          <w:rPr>
            <w:rFonts w:ascii="Verdana" w:eastAsia="Times New Roman" w:hAnsi="Verdana" w:cs="Times New Roman"/>
            <w:color w:val="DC3700"/>
            <w:sz w:val="20"/>
            <w:u w:val="single"/>
            <w:lang w:eastAsia="ru-RU"/>
          </w:rPr>
          <w:t>Федерального закона от 29.12.2012 г. № 273-ФЗ «Об образовании в Российской Федерации»</w:t>
        </w:r>
      </w:hyperlink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определяет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конфликт интересов педагогического работника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ситуацию, «при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влияет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может повлиять на надлежащее исполнение педагогическим работником профессиональных обязанностей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вследствие противоречия между его личной заинтересованностью и интересами обучающихся, родителей несовершеннолетних обучающихся». Так, если педагог оказывает дополнительные платные образовательные услуги, у него может возникнуть заинтересованность в том, чтобы ученики, которых он обучает, имели низкий уровень знаний или их родители считали уровень знаний своих детей таковым.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Согласно статье 48 Федерального закона от 29.12.2012 г. № 273-ФЗ «Об образовании в Российской Федерации»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образовательные услуги обучающимся в данной организации, если это приводит к конфликту интересов педагогического работника. Конфликт может быть решён обращением родителей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комиссию по урегулированию споров.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Статья 13 Федерального закона «О противодействии коррупции» предусматривает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ответственность физических лиц за коррупционные правонарушения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Физическое лицо, совершившее коррупционное правонарушение, по решению суда может быть лишено в соответствии с законодательством РФ права занимать определённые должности государственной и муниципальной службы».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Согласно статье 13.1 Федерального закона «О противодействии коррупции»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увольнение (освобождение от должности) в связи с утратой доверия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осуществляется в случаях: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непринятия лицом мер по предотвращению и урегулированию конфликта интересов, стороной которого оно является;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осуществления предпринимательской деятельности;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законодательством РФ;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непринятия лицом, замещающим государственную должность РФ, государственную должность субъекта РФ, муниципальную должность, мер по предотвращению или урегулированию конфликта интересов, стороной которого является подчинённое лицо.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Одним из наиболее действенных рычагов противодействия коррупции является уголовное законодательство, предусматривающее ответственность за коррупционные преступления физического лица.</w:t>
      </w:r>
    </w:p>
    <w:p w:rsidR="000909F6" w:rsidRPr="000909F6" w:rsidRDefault="000909F6" w:rsidP="000909F6">
      <w:pPr>
        <w:spacing w:before="100" w:beforeAutospacing="1"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коррупционным относят те составы преступлений, которые непосредственно связаны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взяточничеством и подкупом. В сфере образования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наибольшее распространение получили три группы, по которым наиболее часто привлекают к ответственности работников за совершённые преступления. В зависимости от качественных и количественных свойств они располагаются в определённой последовательности. Так, качественным свойством преступности в целом является её общественная опасность – под ней понимается угроза безопасности личности, обществу, государству. Для количественных свойств характерно то, что они определяются, прежде всего, по удельному весу в общем количестве зарегистрированных преступлений различной степени тяжести.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 первой группе относят: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 взятки (ст. 290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дача взятки (ст. 291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мошенничество (ст. 159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коммерческий подкуп (ст. 204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составы преступлений, которые сопряжены со злоупотреблением должностными полномочиями (ст. 285 УК РФ), либо злоупотреблениями полномочиями (ст. 201 УК РФ).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 второй группе коррупционных преступлений следует относить: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присвоение и растрата (ст. 160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посредничество во взяточничестве (ст. 291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провокация взятки либо коммерческого подкупа (ст. 304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подкуп либо принуждение к даче показаний или уклонению от дачи показаний, либо неправильному переводу (ст. 309 УК РФ)</w:t>
      </w:r>
    </w:p>
    <w:p w:rsidR="000909F6" w:rsidRPr="000909F6" w:rsidRDefault="000909F6" w:rsidP="000909F6">
      <w:pPr>
        <w:spacing w:line="240" w:lineRule="auto"/>
        <w:ind w:firstLine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Вышеуказанные составы преступлений объединяет наличие обоюдовыгодной неправомерной сделки со стороны виновного и других лиц, которые предполагают получение денег, ценностей, услуг и пр. При этом виновными признаются как лица, передающие указанные ценности, так и лица, принимающие незаконное вознаграждение за совершение или устранение от каких-либо действий в пользу дающего.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 третьей группе относятся преступления, посягающие на различные сферы общественных отношений: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превышение должностных полномочий (ст. 286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подкуп участников и организаторов профессиональных спортивных соревнований и зрелищных коммерческих конкурсов (ст. 184 УК РФ)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фальсификация доказательств (ст. 303 УК РФ)</w:t>
      </w:r>
    </w:p>
    <w:p w:rsidR="000909F6" w:rsidRPr="000909F6" w:rsidRDefault="000909F6" w:rsidP="000909F6">
      <w:pPr>
        <w:spacing w:line="240" w:lineRule="auto"/>
        <w:ind w:firstLine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Указанные составы преступлений следует относить к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коррупционным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только при одном условии – когда при их совершении заранее оговариваются условия для передачи и получения в качестве вознаграждения денег, ценностей, предоставления услуг. Однако в таких случаях ответственность может наступать не за взяточничество и подкуп, а за деяния, косвенно относящиеся к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коррупционным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909F6" w:rsidRPr="000909F6" w:rsidRDefault="000909F6" w:rsidP="000909F6">
      <w:pPr>
        <w:spacing w:line="240" w:lineRule="auto"/>
        <w:ind w:firstLine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Следует также отметить, что законодательство к коррупционным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относит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прежде всего составы преступлений против государственной власти, интересов государственной службы и службы в органах местного самоуправления (гл. 30 УК РФ), а также преступления против интересов службы в коммерческих и иных организациях.</w:t>
      </w:r>
    </w:p>
    <w:p w:rsidR="000909F6" w:rsidRPr="000909F6" w:rsidRDefault="000909F6" w:rsidP="000909F6">
      <w:pPr>
        <w:spacing w:line="240" w:lineRule="auto"/>
        <w:ind w:firstLine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статье 14 Федерального закона «О противодействии коррупции», предусмотрена ответственность юридических лиц за коррупционные правонарушения.</w:t>
      </w:r>
    </w:p>
    <w:p w:rsidR="000909F6" w:rsidRPr="000909F6" w:rsidRDefault="000909F6" w:rsidP="000909F6">
      <w:pPr>
        <w:spacing w:line="240" w:lineRule="auto"/>
        <w:ind w:firstLine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Кодекс Российской Федерации об административных правонарушениях (КоАП РФ) предусматривает денежные санкции для юридических лиц за коррупционные правонарушения: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ст. 19.28 «Незаконное вознаграждение от имени юридического лица»;</w:t>
      </w:r>
    </w:p>
    <w:p w:rsidR="000909F6" w:rsidRPr="000909F6" w:rsidRDefault="000909F6" w:rsidP="000909F6">
      <w:pPr>
        <w:spacing w:line="240" w:lineRule="auto"/>
        <w:ind w:left="360" w:hanging="360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      </w:t>
      </w:r>
      <w:r w:rsidRPr="000909F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служащего или муниципального служащего».</w:t>
      </w:r>
    </w:p>
    <w:p w:rsidR="000909F6" w:rsidRPr="000909F6" w:rsidRDefault="000909F6" w:rsidP="000909F6">
      <w:pPr>
        <w:spacing w:before="100" w:beforeAutospacing="1" w:line="240" w:lineRule="auto"/>
        <w:ind w:firstLine="36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соответствии с </w:t>
      </w:r>
      <w:proofErr w:type="gramStart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proofErr w:type="gramEnd"/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3 ст.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909F6" w:rsidRPr="000909F6" w:rsidRDefault="000909F6" w:rsidP="000909F6">
      <w:pPr>
        <w:spacing w:before="100" w:beforeAutospacing="1" w:line="240" w:lineRule="auto"/>
        <w:ind w:firstLine="360"/>
        <w:rPr>
          <w:rFonts w:eastAsia="Times New Roman" w:cs="Times New Roman"/>
          <w:color w:val="000000"/>
          <w:szCs w:val="24"/>
          <w:lang w:eastAsia="ru-RU"/>
        </w:rPr>
      </w:pPr>
      <w:r w:rsidRPr="000909F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этом ст. 19 УК РФ определяет, что уголовной ответственности подлежит только вменяемое физическое лицо, достигшее возраста, установленного настоящим кодексом.</w:t>
      </w:r>
    </w:p>
    <w:p w:rsidR="00AF1F32" w:rsidRDefault="00AF1F32"/>
    <w:sectPr w:rsidR="00AF1F32" w:rsidSect="00AF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09F6"/>
    <w:rsid w:val="00020189"/>
    <w:rsid w:val="000909F6"/>
    <w:rsid w:val="00434EBC"/>
    <w:rsid w:val="00AF1F32"/>
    <w:rsid w:val="00B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8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9F6"/>
    <w:rPr>
      <w:b/>
      <w:bCs/>
    </w:rPr>
  </w:style>
  <w:style w:type="character" w:styleId="a4">
    <w:name w:val="Hyperlink"/>
    <w:basedOn w:val="a0"/>
    <w:uiPriority w:val="99"/>
    <w:semiHidden/>
    <w:unhideWhenUsed/>
    <w:rsid w:val="000909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09F6"/>
  </w:style>
  <w:style w:type="paragraph" w:styleId="a5">
    <w:name w:val="List Paragraph"/>
    <w:basedOn w:val="a"/>
    <w:uiPriority w:val="34"/>
    <w:qFormat/>
    <w:rsid w:val="000909F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y64.ucoz.ru/_tbkp/korrypcia/zakon_ob_obrazovanii_273_ot_29.12.2012_g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y64.ucoz.ru/_tbkp/korrypcia/federalnyj_zakon_o_protivodejstvii_korrupcii.pdf" TargetMode="External"/><Relationship Id="rId5" Type="http://schemas.openxmlformats.org/officeDocument/2006/relationships/hyperlink" Target="http://doy64.ucoz.ru/_tbkp/korrypcia/ukaz_prezidenta_297.pdf" TargetMode="External"/><Relationship Id="rId4" Type="http://schemas.openxmlformats.org/officeDocument/2006/relationships/hyperlink" Target="http://doy64.ucoz.ru/_tbkp/korrypcia/ukaz_prezidenta_46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2098</Words>
  <Characters>11959</Characters>
  <Application>Microsoft Office Word</Application>
  <DocSecurity>0</DocSecurity>
  <Lines>99</Lines>
  <Paragraphs>28</Paragraphs>
  <ScaleCrop>false</ScaleCrop>
  <Company>Grizli777</Company>
  <LinksUpToDate>false</LinksUpToDate>
  <CharactersWithSpaces>14029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2015-01-28T06:21:00Z</dcterms:created>
  <dcterms:modified xsi:type="dcterms:W3CDTF">2015-01-28T06:21:00Z</dcterms:modified>
</cp:coreProperties>
</file>