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EE" w:rsidRPr="008F29EE" w:rsidRDefault="008F29EE">
      <w:pPr>
        <w:pStyle w:val="ConsPlusTitle"/>
        <w:jc w:val="center"/>
        <w:outlineLvl w:val="0"/>
      </w:pPr>
      <w:r w:rsidRPr="008F29EE">
        <w:t>ПРАВИТЕЛЬСТВО РОССИЙСКОЙ ФЕДЕРАЦИИ</w:t>
      </w:r>
    </w:p>
    <w:p w:rsidR="008F29EE" w:rsidRPr="008F29EE" w:rsidRDefault="008F29EE">
      <w:pPr>
        <w:pStyle w:val="ConsPlusTitle"/>
        <w:jc w:val="center"/>
      </w:pPr>
    </w:p>
    <w:p w:rsidR="008F29EE" w:rsidRPr="008F29EE" w:rsidRDefault="008F29EE">
      <w:pPr>
        <w:pStyle w:val="ConsPlusTitle"/>
        <w:jc w:val="center"/>
      </w:pPr>
      <w:r w:rsidRPr="008F29EE">
        <w:t>РАСПОРЯЖЕНИЕ</w:t>
      </w:r>
    </w:p>
    <w:p w:rsidR="008F29EE" w:rsidRPr="008F29EE" w:rsidRDefault="008F29EE">
      <w:pPr>
        <w:pStyle w:val="ConsPlusTitle"/>
        <w:jc w:val="center"/>
      </w:pPr>
      <w:r w:rsidRPr="008F29EE">
        <w:t>от 29 мая 2015 г. N 996-р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ind w:firstLine="540"/>
        <w:jc w:val="both"/>
      </w:pPr>
      <w:r w:rsidRPr="008F29EE">
        <w:t xml:space="preserve">1. Утвердить прилагаемую </w:t>
      </w:r>
      <w:hyperlink w:anchor="P24" w:history="1">
        <w:r w:rsidRPr="008F29EE">
          <w:t>Стратегию</w:t>
        </w:r>
      </w:hyperlink>
      <w:r w:rsidRPr="008F29EE">
        <w:t xml:space="preserve"> развития воспитания в Российской Федерации на период до 2025 года (далее - Стратегия).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2. Минобрнауки России: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с участием заинтересованных федеральных органов исполнительной власти в 6-месячный срок разработать </w:t>
      </w:r>
      <w:hyperlink r:id="rId5" w:history="1">
        <w:r w:rsidRPr="008F29EE">
          <w:t>план</w:t>
        </w:r>
      </w:hyperlink>
      <w:r w:rsidRPr="008F29EE">
        <w:t xml:space="preserve"> мероприятий по реализации Стратегии и внести его в Правительство Российской Федерации;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совместно с заинтересованными федеральными органами исполнительной власти обеспечить реализацию </w:t>
      </w:r>
      <w:hyperlink w:anchor="P24" w:history="1">
        <w:r w:rsidRPr="008F29EE">
          <w:t>Стратегии</w:t>
        </w:r>
      </w:hyperlink>
      <w:r w:rsidRPr="008F29EE">
        <w:t>.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right"/>
      </w:pPr>
      <w:r w:rsidRPr="008F29EE">
        <w:t>Председатель Правительства</w:t>
      </w:r>
    </w:p>
    <w:p w:rsidR="008F29EE" w:rsidRPr="008F29EE" w:rsidRDefault="008F29EE">
      <w:pPr>
        <w:pStyle w:val="ConsPlusNormal"/>
        <w:jc w:val="right"/>
      </w:pPr>
      <w:r w:rsidRPr="008F29EE">
        <w:t>Российской Федерации</w:t>
      </w:r>
    </w:p>
    <w:p w:rsidR="008F29EE" w:rsidRPr="008F29EE" w:rsidRDefault="008F29EE">
      <w:pPr>
        <w:pStyle w:val="ConsPlusNormal"/>
        <w:jc w:val="right"/>
      </w:pPr>
      <w:proofErr w:type="spellStart"/>
      <w:r w:rsidRPr="008F29EE">
        <w:t>Д.МЕДВЕДЕВ</w:t>
      </w:r>
      <w:proofErr w:type="spellEnd"/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right"/>
        <w:outlineLvl w:val="0"/>
      </w:pPr>
      <w:r w:rsidRPr="008F29EE">
        <w:t>Утверждена</w:t>
      </w:r>
    </w:p>
    <w:p w:rsidR="008F29EE" w:rsidRPr="008F29EE" w:rsidRDefault="008F29EE">
      <w:pPr>
        <w:pStyle w:val="ConsPlusNormal"/>
        <w:jc w:val="right"/>
      </w:pPr>
      <w:r w:rsidRPr="008F29EE">
        <w:t>распоряжением Правительства</w:t>
      </w:r>
    </w:p>
    <w:p w:rsidR="008F29EE" w:rsidRPr="008F29EE" w:rsidRDefault="008F29EE">
      <w:pPr>
        <w:pStyle w:val="ConsPlusNormal"/>
        <w:jc w:val="right"/>
      </w:pPr>
      <w:r w:rsidRPr="008F29EE">
        <w:t>Российской Федерации</w:t>
      </w:r>
    </w:p>
    <w:p w:rsidR="008F29EE" w:rsidRPr="008F29EE" w:rsidRDefault="008F29EE">
      <w:pPr>
        <w:pStyle w:val="ConsPlusNormal"/>
        <w:jc w:val="right"/>
      </w:pPr>
      <w:r w:rsidRPr="008F29EE">
        <w:t>от 29 мая 2015 г. N 996-р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Title"/>
        <w:jc w:val="center"/>
      </w:pPr>
      <w:bookmarkStart w:id="0" w:name="P24"/>
      <w:bookmarkEnd w:id="0"/>
      <w:r w:rsidRPr="008F29EE">
        <w:t>СТРАТЕГИЯ</w:t>
      </w:r>
    </w:p>
    <w:p w:rsidR="008F29EE" w:rsidRPr="008F29EE" w:rsidRDefault="008F29EE">
      <w:pPr>
        <w:pStyle w:val="ConsPlusTitle"/>
        <w:jc w:val="center"/>
      </w:pPr>
      <w:r w:rsidRPr="008F29EE">
        <w:t>РАЗВИТИЯ ВОСПИТАНИЯ В РОССИЙСКОЙ ФЕДЕРАЦИИ НА ПЕРИОД</w:t>
      </w:r>
    </w:p>
    <w:p w:rsidR="008F29EE" w:rsidRPr="008F29EE" w:rsidRDefault="008F29EE">
      <w:pPr>
        <w:pStyle w:val="ConsPlusTitle"/>
        <w:jc w:val="center"/>
      </w:pPr>
      <w:r w:rsidRPr="008F29EE">
        <w:t>ДО 2025 ГОДА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center"/>
        <w:outlineLvl w:val="1"/>
      </w:pPr>
      <w:r w:rsidRPr="008F29EE">
        <w:t>I. Общие положения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ind w:firstLine="540"/>
        <w:jc w:val="both"/>
      </w:pPr>
      <w:r w:rsidRPr="008F29EE"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Стратегия учитывает положения </w:t>
      </w:r>
      <w:hyperlink r:id="rId6" w:history="1">
        <w:r w:rsidRPr="008F29EE">
          <w:t>Конституции</w:t>
        </w:r>
      </w:hyperlink>
      <w:r w:rsidRPr="008F29EE"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Стратегия развивает механизмы, предусмотренные Федеральным </w:t>
      </w:r>
      <w:hyperlink r:id="rId7" w:history="1">
        <w:r w:rsidRPr="008F29EE">
          <w:t>законом</w:t>
        </w:r>
      </w:hyperlink>
      <w:r w:rsidRPr="008F29EE">
        <w:t xml:space="preserve">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lastRenderedPageBreak/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</w:t>
      </w:r>
      <w:proofErr w:type="spellStart"/>
      <w:r w:rsidRPr="008F29EE">
        <w:t>деятельностного</w:t>
      </w:r>
      <w:proofErr w:type="spellEnd"/>
      <w:r w:rsidRPr="008F29EE">
        <w:t xml:space="preserve"> подхода к социальной ситуации развития ребенка.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center"/>
        <w:outlineLvl w:val="1"/>
      </w:pPr>
      <w:r w:rsidRPr="008F29EE">
        <w:t>II. Цель, задачи, приоритеты Стратегии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ind w:firstLine="540"/>
        <w:jc w:val="both"/>
      </w:pPr>
      <w:r w:rsidRPr="008F29EE"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Для достижения цели Стратегии необходимо решение следующих задач: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консолидации усилий социальных институтов по воспитанию подрастающего поколения;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обеспечение условий для повышения социальной, коммуникативной и педагогической компетентности родителей.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lastRenderedPageBreak/>
        <w:t>Приоритетами государственной политики в области воспитания являются: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воспитания здоровой, счастливой, свободной, ориентированной на труд личности;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поддержка единства и целостности, преемственности и непрерывности воспитания;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поддержка общественных институтов, которые являются носителями духовных ценностей;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внутренней позиции личности по отношению к окружающей социальной действительности;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center"/>
        <w:outlineLvl w:val="1"/>
      </w:pPr>
      <w:r w:rsidRPr="008F29EE">
        <w:t>III. Основные направления развития воспитания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center"/>
        <w:outlineLvl w:val="2"/>
      </w:pPr>
      <w:r w:rsidRPr="008F29EE">
        <w:t>1. Развитие социальных институтов воспитания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ind w:firstLine="540"/>
        <w:jc w:val="both"/>
      </w:pPr>
      <w:r w:rsidRPr="008F29EE">
        <w:t>Поддержка семейного воспитания включает: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содействие укреплению семьи и защиту приоритетного права родителей на воспитание детей перед всеми иными лицами;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популяризацию лучшего опыта воспитания детей в семьях, в том числе многодетных и приемных;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возрождение значимости больших многопоколенных семей, профессиональных династий;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lastRenderedPageBreak/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воспитания в системе образования предполагает: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использование чтения, в том числе семейного, для познания мира и формирования личности;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совершенствование условий для выявления и поддержки одаренных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знакомство с лучшими образцами мировой и отечественной культуры.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Расширение воспитательных возможностей информационных ресурсов предусматривает: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обеспечение условий защиты детей от информации, причиняющей вред их здоровью и психическому развитию.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Поддержка общественных объединений в сфере воспитания предполагает: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</w:t>
      </w:r>
      <w:r w:rsidRPr="008F29EE">
        <w:lastRenderedPageBreak/>
        <w:t>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поддержку ученического самоуправления и повышение роли организаций обучающихся в управлении образовательным процессом;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расширение государственно-частного партнерства в сфере воспитания детей.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center"/>
        <w:outlineLvl w:val="2"/>
      </w:pPr>
      <w:r w:rsidRPr="008F29EE">
        <w:t>2. Обновление воспитательного процесса с учетом современных</w:t>
      </w:r>
    </w:p>
    <w:p w:rsidR="008F29EE" w:rsidRPr="008F29EE" w:rsidRDefault="008F29EE">
      <w:pPr>
        <w:pStyle w:val="ConsPlusNormal"/>
        <w:jc w:val="center"/>
      </w:pPr>
      <w:r w:rsidRPr="008F29EE">
        <w:t>достижений науки и на основе отечественных традиций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ind w:firstLine="540"/>
        <w:jc w:val="both"/>
      </w:pPr>
      <w:r w:rsidRPr="008F29EE">
        <w:t>Гражданское воспитание включает: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культуры межнационального общения;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приверженности идеям интернационализма, дружбы, равенства, взаимопомощи народов;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воспитание уважительного отношения к национальному достоинству людей, их чувствам, религиозным убеждениям;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в детской среде ответственности, принципов коллективизма и социальной солидарности;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Патриотическое воспитание и формирование российской идентичности предусматривает: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повышение качества преподавания гуманитарных учебных предметов, обеспечивающего </w:t>
      </w:r>
      <w:r w:rsidRPr="008F29EE">
        <w:lastRenderedPageBreak/>
        <w:t>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поисковой и краеведческой деятельности, детского познавательного туризма.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Духовное и нравственное воспитание детей на основе российских традиционных ценностей осуществляется за счет: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развития у детей нравственных чувств (чести, долга, справедливости, милосердия и дружелюбия);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формирования выраженной в поведении нравственной позиции, в том числе способности к сознательному выбору добра;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содействия формированию у детей позитивных жизненных ориентиров и планов;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Приобщение детей к культурному наследию предполагает: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равных для всех детей возможностей доступа к культурным ценностям;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воспитание уважения к культуре, языкам, традициям и обычаям народов, проживающих в Российской Федерации;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доступности музейной и театральной культуры для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музейной и театральной педагогики;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lastRenderedPageBreak/>
        <w:t>создание условий для сохранения, поддержки и развития этнических культурных традиций и народного творчества.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Популяризация научных знаний среди детей подразумевает: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Физическое воспитание и формирование культуры здоровья включает: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развитие культуры безопасной жизнедеятельности, профилактику наркотической и алкогольной зависимости, </w:t>
      </w:r>
      <w:proofErr w:type="spellStart"/>
      <w:r w:rsidRPr="008F29EE">
        <w:t>табакокурения</w:t>
      </w:r>
      <w:proofErr w:type="spellEnd"/>
      <w:r w:rsidRPr="008F29EE">
        <w:t xml:space="preserve"> и других вредных привычек;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использование потенциала спортивной деятельности для профилактики асоциального поведения;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содействие проведению массовых общественно-спортивных мероприятий и привлечение к участию в них детей.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Трудовое воспитание и профессиональное самоопределение реализуется посредством: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воспитания у детей уважения к труду и людям труда, трудовым достижениям;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Экологическое воспитание включает: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center"/>
        <w:outlineLvl w:val="1"/>
      </w:pPr>
      <w:r w:rsidRPr="008F29EE">
        <w:t>IV. Механизмы реализации Стратегии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ind w:firstLine="540"/>
        <w:jc w:val="both"/>
      </w:pPr>
      <w:r w:rsidRPr="008F29EE"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Правовые механизмы включают: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Организационно-управленческими механизмами являются: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консолидация усилий воспитательных институтов на муниципальном и региональном уровнях;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эффективная организация межведомственного взаимодействия в системе воспитания;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укрепление сотрудничества семьи, образовательных и иных организаций в воспитании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показателей, отражающих эффективность системы воспитания в Российской Федерации;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организация мониторинга достижения качественных, количественных и </w:t>
      </w:r>
      <w:proofErr w:type="spellStart"/>
      <w:r w:rsidRPr="008F29EE">
        <w:t>фактологических</w:t>
      </w:r>
      <w:proofErr w:type="spellEnd"/>
      <w:r w:rsidRPr="008F29EE">
        <w:t xml:space="preserve"> показателей эффективности реализации Стратегии.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Кадровые механизмы включают: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модернизацию содержания и организации педагогического образования в области воспитания;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подготовку, переподготовку и повышение квалификации работников образования и других </w:t>
      </w:r>
      <w:r w:rsidRPr="008F29EE">
        <w:lastRenderedPageBreak/>
        <w:t>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Научно-методические механизмы предусматривают: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Финансово-экономические механизмы включают: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гибкой системы материального стимулирования качества воспитательной работы организаций и работников.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Информационные механизмы предполагают: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center"/>
        <w:outlineLvl w:val="1"/>
      </w:pPr>
      <w:r w:rsidRPr="008F29EE">
        <w:t>V. Ожидаемые результаты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ind w:firstLine="540"/>
        <w:jc w:val="both"/>
      </w:pPr>
      <w:r w:rsidRPr="008F29EE">
        <w:t>Реализация Стратегии обеспечит: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укрепление общественного согласия, солидарности в вопросах воспитания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престижа семьи, отцовства и материнства, сохранение и укрепление традиционных семейных ценностей;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атмосферы уважения к родителям и родительскому вкладу в воспитание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lastRenderedPageBreak/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укрепление и развитие кадрового потенциала системы воспитания;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 xml:space="preserve">утверждение в детской среде позитивных моделей поведения как нормы, развитие </w:t>
      </w:r>
      <w:proofErr w:type="spellStart"/>
      <w:r w:rsidRPr="008F29EE">
        <w:t>эмпатии</w:t>
      </w:r>
      <w:proofErr w:type="spellEnd"/>
      <w:r w:rsidRPr="008F29EE">
        <w:t>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снижение уровня негативных социальных явлений;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качества научных исследований в области воспитания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повышение уровня информационной безопасности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снижение уровня антиобщественных проявлений со стороны детей;</w:t>
      </w:r>
    </w:p>
    <w:p w:rsidR="008F29EE" w:rsidRPr="008F29EE" w:rsidRDefault="008F29EE">
      <w:pPr>
        <w:pStyle w:val="ConsPlusNormal"/>
        <w:spacing w:before="220"/>
        <w:ind w:firstLine="540"/>
        <w:jc w:val="both"/>
      </w:pPr>
      <w:r w:rsidRPr="008F29EE"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8F29EE" w:rsidRPr="008F29EE" w:rsidRDefault="008F29EE">
      <w:pPr>
        <w:pStyle w:val="ConsPlusNormal"/>
        <w:jc w:val="both"/>
      </w:pPr>
    </w:p>
    <w:p w:rsidR="008F29EE" w:rsidRPr="008F29EE" w:rsidRDefault="008F29EE">
      <w:pPr>
        <w:pStyle w:val="ConsPlusNormal"/>
        <w:jc w:val="both"/>
      </w:pPr>
    </w:p>
    <w:p w:rsidR="00CF41A9" w:rsidRPr="008F29EE" w:rsidRDefault="008F29EE">
      <w:bookmarkStart w:id="1" w:name="_GoBack"/>
      <w:bookmarkEnd w:id="1"/>
    </w:p>
    <w:sectPr w:rsidR="00CF41A9" w:rsidRPr="008F29EE" w:rsidSect="00965DC0">
      <w:pgSz w:w="11906" w:h="16838"/>
      <w:pgMar w:top="1134" w:right="567" w:bottom="1134" w:left="1134" w:header="709" w:footer="54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EE"/>
    <w:rsid w:val="007B6EE9"/>
    <w:rsid w:val="008F29EE"/>
    <w:rsid w:val="00EB3EEE"/>
    <w:rsid w:val="00F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F80F728ABE3B721DC56D486D79B7E178410E8325851CE856501642F5CD19589B7B13E19A6683BDWE1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F80F728ABE3B721DC56D486D79B7E1784B08852AD24BEA070518W417J" TargetMode="External"/><Relationship Id="rId5" Type="http://schemas.openxmlformats.org/officeDocument/2006/relationships/hyperlink" Target="consultantplus://offline/ref=ACF80F728ABE3B721DC56D486D79B7E17B4A0A8425851CE856501642F5CD19589B7B13E19A6683B4WE1F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Браславская Елена Юрьевна</dc:creator>
  <cp:lastModifiedBy>Браславская Елена Юрьевна</cp:lastModifiedBy>
  <cp:revision>1</cp:revision>
  <dcterms:created xsi:type="dcterms:W3CDTF">2017-09-11T09:53:00Z</dcterms:created>
  <dcterms:modified xsi:type="dcterms:W3CDTF">2017-09-11T09:57:00Z</dcterms:modified>
</cp:coreProperties>
</file>