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№5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4"/>
        <w:gridCol w:w="2990"/>
      </w:tblGrid>
      <w:tr w:rsidR="00AA273F" w:rsidRPr="000062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 w:rsidP="0000627F">
            <w:pPr>
              <w:rPr>
                <w:lang w:val="ru-RU"/>
              </w:rPr>
            </w:pPr>
            <w:proofErr w:type="gram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 5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 w:rsidP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 5</w:t>
            </w:r>
            <w:r w:rsidRPr="0000627F">
              <w:rPr>
                <w:lang w:val="ru-RU"/>
              </w:rPr>
              <w:br/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AA273F" w:rsidRPr="0000627F" w:rsidRDefault="00AA27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00627F">
        <w:rPr>
          <w:lang w:val="ru-RU"/>
        </w:rPr>
        <w:br/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00627F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средней общеобразовательной школы № 5</w:t>
      </w:r>
    </w:p>
    <w:p w:rsidR="00AA273F" w:rsidRPr="0000627F" w:rsidRDefault="00AA27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1"/>
        <w:gridCol w:w="6056"/>
      </w:tblGrid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 w:rsidP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общеобразовательная школа № 5 (МБОУ СОШ № 5)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Жанна Владиславовна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Суходильская</w:t>
            </w:r>
            <w:proofErr w:type="spellEnd"/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171640, Тверская область,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городской округ, г. Кашин, ул. 25 Октября, д. 20</w:t>
            </w:r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 w:rsidP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48234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21894</w:t>
            </w:r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So5@mail.ru</w:t>
            </w:r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Кашинского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городского округа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 w:rsidP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AA273F" w:rsidRPr="00664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664037" w:rsidRDefault="0000627F" w:rsidP="00664037">
            <w:pPr>
              <w:rPr>
                <w:lang w:val="ru-RU"/>
              </w:rPr>
            </w:pP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23.12.2019</w:t>
            </w: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 6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</w:t>
            </w:r>
            <w:proofErr w:type="gramStart"/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2373</w:t>
            </w:r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664037" w:rsidRDefault="0000627F">
            <w:pPr>
              <w:rPr>
                <w:lang w:val="ru-RU"/>
              </w:rPr>
            </w:pP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 w:rsidP="00664037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26.12.2019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 6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proofErr w:type="gramStart"/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0824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срок действия: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bookmarkStart w:id="0" w:name="_GoBack"/>
            <w:bookmarkEnd w:id="0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Школа) расположена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спальном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районе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Кашина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 Большинство семей обучающихся проживают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домах типовой застройки: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рядом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Школой, 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близлежащих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деревнях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Школы является реализация общеобразовательных программ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дошкольного, 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Также Школа реализует образовательные программы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окальными нормативными актами Школы.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АХЧ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4-летний нормативный срок освоения основной образовательной программы начального общего образования (реализация ФГОС НОО), 5–9-х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5-летний нормативный срок освоения основной образовательной программы основного общего образования (реализация ФГОС ООО), 10–11-х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2-летний нормативный срок освоения образовательной программы среднего общего образования (реализация ФГОС СОО).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результате введения ограничительных мер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распространением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часть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2020/2021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2021/2022 учебных годах пришлось реализовывать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технологий. Для этого использовались федеральные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региональные информационные ресурсы,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частности, платформа «Онлайн-образование» (Моя школа в</w:t>
      </w:r>
      <w:r>
        <w:rPr>
          <w:rFonts w:hAnsi="Times New Roman" w:cs="Times New Roman"/>
          <w:color w:val="000000"/>
          <w:sz w:val="24"/>
          <w:szCs w:val="24"/>
        </w:rPr>
        <w:t> online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), Российская электронная школа, платформа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», «Учи-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 освоения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поддержании среднестатистического уровня успеваемости учеников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среднего уровня общего образования.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работы, которые являются частью основных образовательных 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proofErr w:type="gramEnd"/>
      <w:r w:rsidRPr="0000627F">
        <w:rPr>
          <w:lang w:val="ru-RU"/>
        </w:rPr>
        <w:br/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proofErr w:type="gramEnd"/>
      <w:r w:rsidRPr="0000627F">
        <w:rPr>
          <w:lang w:val="ru-RU"/>
        </w:rPr>
        <w:br/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  <w:proofErr w:type="gramEnd"/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2022/23 учебный год.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мае 2021 года Школа организовала проведение обучающих онлайн-семинаров для учителей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здорового образа жизни, диагностики неадекватного состояния учащихся. Школа проводила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систематическую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AA273F" w:rsidRPr="0000627F" w:rsidRDefault="000062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AA273F" w:rsidRPr="0000627F" w:rsidRDefault="000062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областном конкурсе антинаркотической социальной рекламы;</w:t>
      </w:r>
    </w:p>
    <w:p w:rsidR="00AA273F" w:rsidRPr="0000627F" w:rsidRDefault="000062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использованием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ИКТ-технологий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273F" w:rsidRPr="0000627F" w:rsidRDefault="000062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AA273F" w:rsidRPr="0000627F" w:rsidRDefault="0000627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онлайн-лекции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AA273F" w:rsidRDefault="000062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Default="000062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техническое;</w:t>
      </w:r>
    </w:p>
    <w:p w:rsidR="00AA273F" w:rsidRDefault="000062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художественное;</w:t>
      </w:r>
    </w:p>
    <w:p w:rsidR="00AA273F" w:rsidRDefault="000062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физкультурно-спортивное;</w:t>
      </w:r>
    </w:p>
    <w:p w:rsidR="00AA273F" w:rsidRDefault="0000627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туристско-краеведческое.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родителей, который провели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сентябре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года.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 опроса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560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357 родителей выявили, что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направление выбрало 57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процентов, туристско-краеведческое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процентов, техническое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37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процентов, художественное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процентов, физкультурно-спортивное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второй половине 2020/2021 учебного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первой половине 2021/2022 учебного года пришлось периодически проводить дистанционные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дополнительного образования.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Учет родительского мнения показал, что почти половина родителей (законных представителей)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удовлетворены подобным форматом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дополнительному образованию.</w:t>
      </w:r>
      <w:proofErr w:type="gramEnd"/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Анализ данных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посещению детьми занятий дополнительного образования показывает снижение показателя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охвату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переходом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дистанционный режим, особенно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программам технической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физкультурно-спортивной направленности, что является закономерным.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опрос родителей (законных представителей)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сентябре 2021 года показал, что большая часть опрошенных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целом удовлетворены качеством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  <w:proofErr w:type="gramEnd"/>
    </w:p>
    <w:p w:rsidR="00AA273F" w:rsidRDefault="0000627F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4158614"/>
            <wp:effectExtent l="0" t="0" r="0" b="0"/>
            <wp:docPr id="1" name="Picture 1" descr="/api/doc/v1/image/-32285367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2285367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415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3F" w:rsidRDefault="00AA273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4"/>
        <w:gridCol w:w="7103"/>
      </w:tblGrid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A273F" w:rsidRDefault="0000627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AA273F" w:rsidRDefault="0000627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AA273F" w:rsidRDefault="0000627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AA273F" w:rsidRDefault="000062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273F" w:rsidRDefault="000062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AA273F" w:rsidRDefault="000062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AA273F" w:rsidRPr="0000627F" w:rsidRDefault="000062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AA273F" w:rsidRPr="0000627F" w:rsidRDefault="000062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AA273F" w:rsidRPr="0000627F" w:rsidRDefault="0000627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AA273F" w:rsidRDefault="0000627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AA273F" w:rsidRPr="0000627F" w:rsidRDefault="000062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AA273F" w:rsidRPr="0000627F" w:rsidRDefault="000062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AA273F" w:rsidRPr="0000627F" w:rsidRDefault="0000627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AA273F" w:rsidRPr="0000627F" w:rsidRDefault="0000627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создано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AA273F" w:rsidRPr="0000627F" w:rsidRDefault="000062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:rsidR="00AA273F" w:rsidRDefault="000062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00627F" w:rsidRPr="0000627F" w:rsidRDefault="000062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</w:t>
      </w:r>
    </w:p>
    <w:p w:rsidR="00AA273F" w:rsidRDefault="0000627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школа начала вводить электронный документооборот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24.04.2020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122-ФЗ.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течение 2021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перевели:</w:t>
      </w:r>
    </w:p>
    <w:p w:rsidR="00AA273F" w:rsidRDefault="000062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Pr="0000627F" w:rsidRDefault="000062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рабочую документацию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образования;</w:t>
      </w:r>
    </w:p>
    <w:p w:rsidR="00AA273F" w:rsidRPr="0000627F" w:rsidRDefault="0000627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оформление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методической документации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части ООП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 2021 года система управления Школой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</w:t>
      </w:r>
    </w:p>
    <w:p w:rsidR="00AA273F" w:rsidRPr="0000627F" w:rsidRDefault="00AA2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AA273F" w:rsidRDefault="0000627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2018–202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"/>
        <w:gridCol w:w="3586"/>
        <w:gridCol w:w="1182"/>
        <w:gridCol w:w="1182"/>
        <w:gridCol w:w="1182"/>
        <w:gridCol w:w="1466"/>
      </w:tblGrid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2018–2019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 w:rsidP="004E3E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E3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E3E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00627F" w:rsidRDefault="004E3EE8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00627F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538+53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 w:rsidP="004E3EE8">
            <w:pPr>
              <w:rPr>
                <w:lang w:val="ru-RU"/>
              </w:rPr>
            </w:pPr>
            <w:r>
              <w:rPr>
                <w:lang w:val="ru-RU"/>
              </w:rPr>
              <w:t>545+42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 w:rsidP="001E0AB9">
            <w:pPr>
              <w:rPr>
                <w:lang w:val="ru-RU"/>
              </w:rPr>
            </w:pPr>
            <w:r w:rsidRPr="009E173D">
              <w:t>564+</w:t>
            </w:r>
            <w:r>
              <w:rPr>
                <w:lang w:val="ru-RU"/>
              </w:rPr>
              <w:t>28</w:t>
            </w:r>
          </w:p>
        </w:tc>
      </w:tr>
      <w:tr w:rsidR="004E3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00627F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229+19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 w:rsidP="004E3EE8">
            <w:pPr>
              <w:rPr>
                <w:lang w:val="ru-RU"/>
              </w:rPr>
            </w:pPr>
            <w:r>
              <w:rPr>
                <w:lang w:val="ru-RU"/>
              </w:rPr>
              <w:t>220+10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 w:rsidP="001E0AB9">
            <w:pPr>
              <w:rPr>
                <w:lang w:val="ru-RU"/>
              </w:rPr>
            </w:pPr>
            <w:r w:rsidRPr="009E173D">
              <w:t>231</w:t>
            </w:r>
            <w:r>
              <w:rPr>
                <w:lang w:val="ru-RU"/>
              </w:rPr>
              <w:t>+12</w:t>
            </w:r>
          </w:p>
        </w:tc>
      </w:tr>
      <w:tr w:rsidR="004E3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00627F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275+34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>
            <w:pPr>
              <w:rPr>
                <w:lang w:val="ru-RU"/>
              </w:rPr>
            </w:pPr>
            <w:r>
              <w:rPr>
                <w:lang w:val="ru-RU"/>
              </w:rPr>
              <w:t>285+32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 w:rsidP="001E0AB9">
            <w:pPr>
              <w:rPr>
                <w:lang w:val="ru-RU"/>
              </w:rPr>
            </w:pPr>
            <w:r w:rsidRPr="009E173D">
              <w:t>284</w:t>
            </w:r>
            <w:r>
              <w:rPr>
                <w:lang w:val="ru-RU"/>
              </w:rPr>
              <w:t>+16</w:t>
            </w:r>
          </w:p>
        </w:tc>
      </w:tr>
      <w:tr w:rsidR="004E3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00627F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Pr="004E3EE8" w:rsidRDefault="004E3EE8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8" w:rsidRDefault="004E3EE8" w:rsidP="001E0AB9">
            <w:r w:rsidRPr="009E173D">
              <w:t>49</w:t>
            </w:r>
          </w:p>
        </w:tc>
      </w:tr>
      <w:tr w:rsidR="00AA273F" w:rsidRPr="000062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A27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A273F" w:rsidRPr="000062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4E3EE8" w:rsidRDefault="004E3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инвалидностью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4E3EE8">
        <w:rPr>
          <w:rFonts w:hAnsi="Times New Roman" w:cs="Times New Roman"/>
          <w:color w:val="000000"/>
          <w:sz w:val="24"/>
          <w:szCs w:val="24"/>
          <w:lang w:val="ru-RU"/>
        </w:rPr>
        <w:t>-8 человек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качества знаний</w:t>
      </w:r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9"/>
        <w:gridCol w:w="709"/>
        <w:gridCol w:w="603"/>
        <w:gridCol w:w="490"/>
        <w:gridCol w:w="1182"/>
        <w:gridCol w:w="377"/>
        <w:gridCol w:w="1389"/>
        <w:gridCol w:w="339"/>
        <w:gridCol w:w="603"/>
        <w:gridCol w:w="339"/>
        <w:gridCol w:w="603"/>
        <w:gridCol w:w="339"/>
        <w:gridCol w:w="906"/>
        <w:gridCol w:w="429"/>
      </w:tblGrid>
      <w:tr w:rsidR="00AA273F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AA273F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3F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A27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 w:rsidP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4E3E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4E3EE8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 был 50,4%),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12,5%).</w:t>
      </w:r>
      <w:proofErr w:type="gramEnd"/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9"/>
        <w:gridCol w:w="717"/>
        <w:gridCol w:w="610"/>
        <w:gridCol w:w="495"/>
        <w:gridCol w:w="1195"/>
        <w:gridCol w:w="495"/>
        <w:gridCol w:w="1195"/>
        <w:gridCol w:w="341"/>
        <w:gridCol w:w="610"/>
        <w:gridCol w:w="341"/>
        <w:gridCol w:w="610"/>
        <w:gridCol w:w="341"/>
        <w:gridCol w:w="916"/>
        <w:gridCol w:w="432"/>
      </w:tblGrid>
      <w:tr w:rsidR="00AA27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F461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00627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F461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0627F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00627F" w:rsidP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46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1,7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 был 33,7%),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«5», стабилен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2,3%).</w:t>
      </w:r>
      <w:proofErr w:type="gramEnd"/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4-8-х классов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проведении всероссийских проверочных работ.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 положительную динамику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результатами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года: 95% учеников справились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заданиями, которые вызвали затруднения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осенних ВПР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proofErr w:type="gramEnd"/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7"/>
        <w:gridCol w:w="647"/>
        <w:gridCol w:w="553"/>
        <w:gridCol w:w="452"/>
        <w:gridCol w:w="1066"/>
        <w:gridCol w:w="351"/>
        <w:gridCol w:w="1066"/>
        <w:gridCol w:w="318"/>
        <w:gridCol w:w="553"/>
        <w:gridCol w:w="318"/>
        <w:gridCol w:w="553"/>
        <w:gridCol w:w="318"/>
        <w:gridCol w:w="821"/>
        <w:gridCol w:w="397"/>
        <w:gridCol w:w="356"/>
        <w:gridCol w:w="621"/>
      </w:tblGrid>
      <w:tr w:rsidR="00AA27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20201 учебном году выросли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2020 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 обучающихся, которые закончили полугодие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«5», было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4%),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«5», стабилен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2020 было 9%).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выпускники 11-х классов сдавали ГИА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форме ГВЭ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математике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ГВЭ-аттестат)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26.02.2021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256. ЕГЭ сдавали только выпускники, которые планировали поступать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высшие учебные заведения. Обучающиеся 9-х классов сдавали экзамены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основным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математике, чтобы получить аттестат.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одному предмету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выбору проводилась внутренняя контрольная работа. Участники ГИА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инвалидностью могли сдать экзамен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одному предмету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своему желанию.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ГИА-21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показывает, что почти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два раза увеличилось число учеников 9-х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11-х классов, которые получили аттестат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отличием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итогами прошлого года,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полтора раза уменьшилось число учеников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одной тройкой.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65%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писали ЕГЭ, 15% для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вуз сдавали обществознание, 7%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физику, 3%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литературу, 4%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биологию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6%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информатику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273F" w:rsidRDefault="0000627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ЕГЭ в 2021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9"/>
        <w:gridCol w:w="1376"/>
        <w:gridCol w:w="2132"/>
        <w:gridCol w:w="2173"/>
        <w:gridCol w:w="1367"/>
      </w:tblGrid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F461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 w:rsidR="0000627F">
              <w:rPr>
                <w:rFonts w:hAnsi="Times New Roman" w:cs="Times New Roman"/>
                <w:color w:val="000000"/>
                <w:sz w:val="24"/>
                <w:szCs w:val="24"/>
              </w:rPr>
              <w:t>.15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44/4,06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 w:rsidP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и 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AA273F" w:rsidRDefault="00AA273F">
      <w:pPr>
        <w:rPr>
          <w:rFonts w:hAnsi="Times New Roman" w:cs="Times New Roman"/>
          <w:color w:val="000000"/>
          <w:sz w:val="24"/>
          <w:szCs w:val="24"/>
        </w:rPr>
      </w:pPr>
    </w:p>
    <w:p w:rsidR="00AA273F" w:rsidRPr="00F461F6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F461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— для 2–11-х классов. 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61F6">
        <w:rPr>
          <w:rFonts w:hAnsi="Times New Roman" w:cs="Times New Roman"/>
          <w:color w:val="000000"/>
          <w:sz w:val="24"/>
          <w:szCs w:val="24"/>
          <w:lang w:val="ru-RU"/>
        </w:rPr>
        <w:t xml:space="preserve">одну смену 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2–4-х классов,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одну смену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для обучающихся 1-х, 5–11-х классов.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3.1/2.43598-20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организации начала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Школа:</w:t>
      </w:r>
    </w:p>
    <w:p w:rsidR="00AA273F" w:rsidRPr="0000627F" w:rsidRDefault="000062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уведомила управление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дате начала образовательного процесса;</w:t>
      </w:r>
    </w:p>
    <w:p w:rsidR="00AA273F" w:rsidRPr="0000627F" w:rsidRDefault="000062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прихода обучающихся, начала/окончания занятий, приема пищи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столовой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таким учетом, чтобы развести потоки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минимизировать контакты учеников;</w:t>
      </w:r>
    </w:p>
    <w:p w:rsidR="00AA273F" w:rsidRDefault="000062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закрепила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Pr="0000627F" w:rsidRDefault="000062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составила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утвердила графики уборки, проветривания кабинетов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рекреаций;</w:t>
      </w:r>
    </w:p>
    <w:p w:rsidR="00AA273F" w:rsidRPr="0000627F" w:rsidRDefault="000062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разместила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сайте школы необходимую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дополнительно направили ссылки по официальным родительским группам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WhatsApp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273F" w:rsidRPr="0000627F" w:rsidRDefault="0000627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использует при осуществлении образовательного процесса бесконтактные термометры, 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настенные для каждого кабинета,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устройства для антисептической обработки рук, маски многоразового использования, маски медицинские, перчатки.</w:t>
      </w:r>
    </w:p>
    <w:p w:rsidR="00AA273F" w:rsidRPr="0000627F" w:rsidRDefault="00AA2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AA27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AA273F" w:rsidRPr="00006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AA27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73F" w:rsidRPr="00F461F6" w:rsidRDefault="00F46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направлениям, что недостаточно для удовлетворения спроса всех старшеклассников.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общим количеством выпускников 11-го класса.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прирост составил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11%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результатами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AA273F" w:rsidRPr="0000627F" w:rsidRDefault="00AA2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F461F6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педагога,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них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внутренних совместителей.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них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человек имеет среднее специальное 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вузе.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аттестацию прошли </w:t>
      </w:r>
      <w:r w:rsidR="00F461F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</w:t>
      </w:r>
      <w:r w:rsidR="00F461F6">
        <w:rPr>
          <w:rFonts w:hAnsi="Times New Roman" w:cs="Times New Roman"/>
          <w:color w:val="000000"/>
          <w:sz w:val="24"/>
          <w:szCs w:val="24"/>
          <w:lang w:val="ru-RU"/>
        </w:rPr>
        <w:t xml:space="preserve"> – 1, на первую - 2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AA273F" w:rsidRPr="0000627F" w:rsidRDefault="000062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AA273F" w:rsidRPr="0000627F" w:rsidRDefault="000062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AA273F" w:rsidRDefault="0000627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AA273F" w:rsidRPr="0000627F" w:rsidRDefault="0000627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AA273F" w:rsidRPr="0000627F" w:rsidRDefault="0000627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собственныхвыпускников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273F" w:rsidRPr="0000627F" w:rsidRDefault="0000627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том числе электронный журнал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дневники учеников.</w:t>
      </w:r>
      <w:r w:rsidRPr="0000627F">
        <w:rPr>
          <w:lang w:val="ru-RU"/>
        </w:rPr>
        <w:br/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25% педагогов прошли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дистанционного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объеме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часов. Семь педагогов приняли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записи уроков для трансляции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региональном телевизионном канале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рамках проекта «Открытые уроки».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педагогов прошли повышение 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освоили учебный курс «Основы компьютерной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решении профессиональных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условиях пандемии», онлайн-курс повышения квалификации «Современные образовательные информационные технологии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EdTech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работе учителя»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foxford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, онлайн курс Института ЮНЕСКО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информационным технологиям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образовании «Методика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проведения электронных презентаций».</w:t>
      </w:r>
      <w:proofErr w:type="gramEnd"/>
    </w:p>
    <w:p w:rsidR="00AA273F" w:rsidRPr="0000627F" w:rsidRDefault="00AA2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AA273F" w:rsidRDefault="0000627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A273F" w:rsidRDefault="0000627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20972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Default="0000627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 — 100 процентов;</w:t>
      </w:r>
    </w:p>
    <w:p w:rsidR="00AA273F" w:rsidRDefault="0000627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3726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Default="0000627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 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 xml:space="preserve">10015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:rsidR="00AA273F" w:rsidRDefault="0000627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593"/>
        <w:gridCol w:w="2908"/>
        <w:gridCol w:w="2297"/>
      </w:tblGrid>
      <w:tr w:rsidR="00AA273F" w:rsidRPr="00006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00627F" w:rsidRDefault="0000627F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5302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A2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73F" w:rsidRDefault="0000627F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перечень, утвержденный приказом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254.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библиотеке имеются электронные образовательные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дисков; сетевые образовательные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 Мультимедийные средства (презентации, электронные энциклопедии, дидактические материалы)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300.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литературы.</w:t>
      </w:r>
    </w:p>
    <w:p w:rsidR="00AA273F" w:rsidRPr="0000627F" w:rsidRDefault="00AA2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полной мере образовательные программы.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оборудованы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49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учебных кабинета, 2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них оснащен современной мультимедийной техникой,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proofErr w:type="gramEnd"/>
    </w:p>
    <w:p w:rsidR="00AA273F" w:rsidRDefault="000062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Default="000062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 химии;</w:t>
      </w:r>
    </w:p>
    <w:p w:rsidR="00AA273F" w:rsidRDefault="000062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 биологии;</w:t>
      </w:r>
    </w:p>
    <w:p w:rsidR="00AA273F" w:rsidRDefault="000062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</w:t>
      </w:r>
      <w:proofErr w:type="spellEnd"/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273F" w:rsidRDefault="000062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столярная мастерская;</w:t>
      </w:r>
    </w:p>
    <w:p w:rsidR="00AA273F" w:rsidRDefault="000062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AA273F" w:rsidRPr="0000627F" w:rsidRDefault="00F7036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истории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Школа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 xml:space="preserve"> (филиал) 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стала участником федеральной программы «Цифровая образовательная среда»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рамках национального проекта «Образование»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получила оборудование для двух кабинетов цифровой образовательной среды (ЦОС).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сентября состоялось торжественное открытие кабинетов ЦОС,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течение 2021 года провели мероприятия, чтобы продемонстрировать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возможности: семинар-телемост «Языки народов России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системе общего образования Российской Федерации»;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уроки «Цифры». Такая работа позволила комплексно подойти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следующему этапу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использованию новых 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 Школы.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втором этаже здания оборудован актовый зал.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первом этаже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столовая, пищеблок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спортивный зал.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новому учебному году школа провела закупку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дооснастила помещения пищеблока новым оборудованием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1.2.3685-21, СанПиН 2.3/2.4.3590-20.</w:t>
      </w:r>
    </w:p>
    <w:p w:rsidR="00F70362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складе пищеблока установили психрометр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холодильных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шкафа. 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результате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сравнили оснащения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воспитания, утвержденным приказом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23.08.2021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590.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 сравнения можно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выводу, что Школе необходимо закупить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установить следующее оборудование, инвентарь:</w:t>
      </w:r>
    </w:p>
    <w:p w:rsidR="00AA273F" w:rsidRPr="0000627F" w:rsidRDefault="0000627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рекреациях: стол модульный регулируемый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высоте, стул ученический регулируемый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высоте, интерактивную стойку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встроенным планшетом, ЖК-панель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медиаплеером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273F" w:rsidRPr="0000627F" w:rsidRDefault="0000627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спортзале: скакалки, мяч набивной (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медбол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степ-платформы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, снаряды для функционального тренинга, дуги для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подлезания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, коврики гимнастические, палки гимнастические утяжеленные (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бодибары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), стойку для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бодибаров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273F" w:rsidRPr="0000627F" w:rsidRDefault="0000627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кабинете химии: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флипчарт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магнитно-маркерной доской, весы электронные с</w:t>
      </w:r>
      <w:r>
        <w:rPr>
          <w:rFonts w:hAnsi="Times New Roman" w:cs="Times New Roman"/>
          <w:color w:val="000000"/>
          <w:sz w:val="24"/>
          <w:szCs w:val="24"/>
        </w:rPr>
        <w:t> USB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-переходником, центрифугу демонстрационную, прибор для иллюстрации зависимости скорости химических реакций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условий окружающей среды, набор для электролиза демонстрационный, прибор для опытов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химии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электрическим током (лабораторный), прибор для окисления спирта над медным катализатором.</w:t>
      </w:r>
    </w:p>
    <w:p w:rsidR="00AA273F" w:rsidRPr="0000627F" w:rsidRDefault="00AA2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IX</w:t>
      </w: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системе оценки качества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образованияот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31.05.2019.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выявлено, что уровень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2021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70362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процентов. Высказаны пожелания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введении профильного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естественно-научными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, социально-экономическими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технологическими классами.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итогам проведения заседания Педсовета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13.12.2021 принято решение ввести профильное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предложенным направлениям (приказ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15.12.2021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67).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Школа продолжила проводить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2021 году мониторинг удовлетворенности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учеников дистанционным обучением посредством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анкетирования. Преимущества дистанционного </w:t>
      </w:r>
      <w:proofErr w:type="gramStart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мнению родителей: гибкость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технологичность образовательной деятельности,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комфортной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привычной обстановке, получение практических навыков.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основным сложностям респонденты относят затрудненную коммуникацию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зачастую общение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ним сводится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переписке, педагоги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дают обратную связь,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разобраться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новом материале без объяснений сложно.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50% родителей отметили, что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время дистанционного обучения оценки ребенка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изменились, третья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что они улучшились,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4%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— что ухудшились. Хотя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целом формальная успеваемость осталась прежней, 45% опрошенных считают, что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дистанционное образование негативно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уровне знаний школьников.</w:t>
      </w:r>
    </w:p>
    <w:p w:rsidR="00AA273F" w:rsidRDefault="0000627F">
      <w:r>
        <w:rPr>
          <w:noProof/>
          <w:lang w:val="ru-RU" w:eastAsia="ru-RU"/>
        </w:rPr>
        <w:drawing>
          <wp:inline distT="0" distB="0" distL="0" distR="0">
            <wp:extent cx="5732144" cy="3418837"/>
            <wp:effectExtent l="0" t="0" r="0" b="0"/>
            <wp:docPr id="2" name="Picture 2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3F" w:rsidRDefault="00AA273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A273F" w:rsidRPr="0000627F" w:rsidRDefault="0000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AA273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декабря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F70362" w:rsidRPr="00F70362" w:rsidRDefault="00F70362" w:rsidP="00F70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0362">
        <w:rPr>
          <w:rFonts w:hAnsi="Times New Roman" w:cs="Times New Roman"/>
          <w:color w:val="000000"/>
          <w:sz w:val="24"/>
          <w:szCs w:val="24"/>
          <w:lang w:val="ru-RU"/>
        </w:rPr>
        <w:t>564+28</w:t>
      </w:r>
    </w:p>
    <w:p w:rsidR="00F70362" w:rsidRPr="00F70362" w:rsidRDefault="00F70362" w:rsidP="00F70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0362">
        <w:rPr>
          <w:rFonts w:hAnsi="Times New Roman" w:cs="Times New Roman"/>
          <w:color w:val="000000"/>
          <w:sz w:val="24"/>
          <w:szCs w:val="24"/>
          <w:lang w:val="ru-RU"/>
        </w:rPr>
        <w:t>231+12</w:t>
      </w:r>
    </w:p>
    <w:p w:rsidR="00F70362" w:rsidRPr="00F70362" w:rsidRDefault="00F70362" w:rsidP="00F70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0362">
        <w:rPr>
          <w:rFonts w:hAnsi="Times New Roman" w:cs="Times New Roman"/>
          <w:color w:val="000000"/>
          <w:sz w:val="24"/>
          <w:szCs w:val="24"/>
          <w:lang w:val="ru-RU"/>
        </w:rPr>
        <w:t>284+16</w:t>
      </w:r>
    </w:p>
    <w:p w:rsidR="00F70362" w:rsidRPr="0000627F" w:rsidRDefault="00F70362" w:rsidP="00F70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0362">
        <w:rPr>
          <w:rFonts w:hAnsi="Times New Roman" w:cs="Times New Roman"/>
          <w:color w:val="000000"/>
          <w:sz w:val="24"/>
          <w:szCs w:val="24"/>
          <w:lang w:val="ru-RU"/>
        </w:rPr>
        <w:t>49</w:t>
      </w:r>
    </w:p>
    <w:tbl>
      <w:tblPr>
        <w:tblW w:w="964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5919"/>
        <w:gridCol w:w="1446"/>
        <w:gridCol w:w="1433"/>
      </w:tblGrid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F70362" w:rsidRDefault="00F70362" w:rsidP="00F70362">
            <w:pPr>
              <w:ind w:left="-299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F70362" w:rsidRDefault="00F70362" w:rsidP="00F70362">
            <w:pPr>
              <w:ind w:left="-299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592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 w:rsidP="00F703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F70362" w:rsidRDefault="00F703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,06/44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proofErr w:type="spell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численностивыпускников</w:t>
            </w:r>
            <w:proofErr w:type="spell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00627F">
              <w:rPr>
                <w:lang w:val="ru-RU"/>
              </w:rPr>
              <w:br/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 w:rsidP="00F703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45 (5%)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proofErr w:type="gram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362" w:rsidTr="00F70362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226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664037">
            <w:pPr>
              <w:ind w:left="-29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362" w:rsidTr="00F70362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362" w:rsidTr="00F70362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 w:rsidP="00664037">
            <w:r>
              <w:rPr>
                <w:rFonts w:hAnsi="Times New Roman" w:cs="Times New Roman"/>
                <w:color w:val="000000"/>
                <w:sz w:val="24"/>
                <w:szCs w:val="24"/>
              </w:rPr>
              <w:t>12 (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362" w:rsidTr="00F70362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362" w:rsidTr="00F70362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(14%)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 w:rsidP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F70362" w:rsidP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 w:rsidR="00664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F70362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  <w:p w:rsidR="00664037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70362" w:rsidTr="00F70362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F70362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664037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6640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592</w:t>
            </w:r>
            <w:r w:rsidR="00F70362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F70362" w:rsidTr="00F7036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362" w:rsidRPr="0000627F" w:rsidRDefault="00664037" w:rsidP="00F70362">
            <w:pPr>
              <w:ind w:left="-29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00627F" w:rsidRDefault="00F70362">
            <w:pPr>
              <w:rPr>
                <w:lang w:val="ru-RU"/>
              </w:rPr>
            </w:pP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Default="00F70362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62" w:rsidRPr="00664037" w:rsidRDefault="00664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12.6</w:t>
            </w:r>
          </w:p>
        </w:tc>
      </w:tr>
    </w:tbl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:rsidR="00AA273F" w:rsidRPr="0000627F" w:rsidRDefault="000062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627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AA273F" w:rsidRPr="0000627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A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03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156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62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4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16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17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D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107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8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FE0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96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33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27F"/>
    <w:rsid w:val="002D33B1"/>
    <w:rsid w:val="002D3591"/>
    <w:rsid w:val="003514A0"/>
    <w:rsid w:val="004E3EE8"/>
    <w:rsid w:val="004F7E17"/>
    <w:rsid w:val="005A05CE"/>
    <w:rsid w:val="00653AF6"/>
    <w:rsid w:val="00664037"/>
    <w:rsid w:val="00AA273F"/>
    <w:rsid w:val="00B73A5A"/>
    <w:rsid w:val="00E438A1"/>
    <w:rsid w:val="00F01E19"/>
    <w:rsid w:val="00F461F6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62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62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Актион-МЦФЭР</dc:description>
  <cp:lastModifiedBy>Сотрудник</cp:lastModifiedBy>
  <cp:revision>2</cp:revision>
  <dcterms:created xsi:type="dcterms:W3CDTF">2022-11-30T16:04:00Z</dcterms:created>
  <dcterms:modified xsi:type="dcterms:W3CDTF">2022-11-30T16:04:00Z</dcterms:modified>
</cp:coreProperties>
</file>