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EFE" w:rsidRDefault="00272EFE" w:rsidP="00272EFE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bookmarkStart w:id="0" w:name="_GoBack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МЕТОДОЛОГИЯ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(ЦЕЛЕВАЯ МОДЕЛЬ) НАСТАВНИЧЕСТВА ОБУЧАЮЩИХСЯ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ДЛЯ ОРГАНИЗАЦИЙ, ОСУЩЕСТВЛЯЮЩИХ ОБРАЗОВАТЕЛЬНУЮ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ДЕЯТЕЛЬНОСТЬ ПО ОБЩЕОБРАЗОВАТЕЛЬНЫМ, ДОПОЛНИТЕЛЬНЫМ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ОБЩЕОБРАЗОВАТЕЛЬНЫМ И ПРОГРАММАМ СРЕДНЕГО ПРОФЕССИОНАЛЬНОГО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ОБРАЗОВАНИЯ, В ТОМ ЧИСЛЕ С ПРИМЕНЕНИЕМ ЛУЧШИХ ПРАКТИК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 xml:space="preserve">ОБМЕНА ОПЫТОМ МЕЖДУ </w:t>
      </w:r>
      <w:proofErr w:type="gram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ОБУЧАЮЩИМИСЯ</w:t>
      </w:r>
      <w:proofErr w:type="gramEnd"/>
    </w:p>
    <w:bookmarkEnd w:id="0"/>
    <w:p w:rsidR="00272EFE" w:rsidRDefault="00272EFE" w:rsidP="00272EFE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1. Общие положения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1.1.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Настоящая Целевая модель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программам и программам среднего профессионального образования (далее - Целевая модель наставничества), в том числе с применением лучших практик обмена опытом между обучающимися, разработана в целях достижения результатов федеральных проектов "Современная школа", "Молодые профессионалы (Повышение конкурентоспособности профессионального образования)" и "Успех каждого ребенка" национального проекта "Образование" и регулирует отношения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связанные с функционированием и развитием программ наставничества в субъектах Российской Федерации для организаций, осуществляющих образовательную деятельность по общеобразовательным, дополнительным общеобразовательным программам и образовательным программам среднего профессионального образования, в том числе с применением лучших практик обмена опытом между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обучающимися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1.2.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Целью внедрения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 в возрасте от 10 лет, педагогических работников (далее - педагоги) разных уровней образования и молодых специалистов, проживающих на территории Российской Федерации.</w:t>
      </w:r>
      <w:proofErr w:type="gramEnd"/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1.3. Задачи внедрения целевой модели наставничества: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улучшение показателей организаций, осуществляющих деятельность по общеобразовательным, дополнительным общеобразовательным программам и образовательным программам среднего профессионального образования (далее - образовательные организации) в образовательной, социокультурной, спортивной и других сферах;</w:t>
      </w:r>
      <w:proofErr w:type="gramEnd"/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раскрытие личностного, творческого, профессионального потенциала каждого обучающегося, поддержка формирования и реализации индивидуальной образовательной траектории;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создание канала эффективного обмена личностным, жизненным и профессиональным опытом для каждого субъекта образовательной и профессиональной деятельности;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формирование открытого и эффективного сообщества вокруг образовательной организации, способного на комплексную поддержку ее деятельности, в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котором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выстроены доверительные и партнерские отношения.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1.4. Целевая модель наставничества представляет собой совокупность структурных компонентов и механизмов, обеспечивающих ее внедрение в образовательных организациях и достижение поставленных результатов. С точки зрения наставничества как процесса целевая модель описывает этапы реализации программ наставничества и роли участников, организующих эти этапы.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1.5. Внедрение целевой модели наставничества осуществляется субъектами Российской Федерации на основе методических рекомендаций Ведомственного проектного офиса национального проекта "Образование" (далее - ведомственный проектный офис).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1.6. Ведомственный проектный офис осуществляет методическое сопровождение внедрения настоящей целевой модели, в том числе путем направления методических рекомендаций.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 Термины и определения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метакомпетенций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ценностей через неформальное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взаимообогащающее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общение, основанное на доверии и партнерстве.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наставляемый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может быть определен термином "обучающийся".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Куратор 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Целевая модель наставничества - система условий, ресурсов и процессов, необходимых для реализации программ наставничества в образовательных организациях.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Методология наставничества 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Активное слушание 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между наставником и наставляемым.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Буллинг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буллинга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-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кибербуллинг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травля в социальных сетях.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Метакомпетенции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Тьютор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- специалист в области педагогики, который помогает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обучающемуся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определиться с индивидуальным образовательным маршрутом.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Благодарный выпускник 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эндаумент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организует стажировки и т.д.).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Эндаумент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- фонд целевого капитала в некоммерческих организациях, обычно в сфере образования или культуры, который формируется за счет добровольных пожертвований. В частности, в школьный фонд целевого капитала пожертвования могут приходить от благодарных выпускников школы, желающих поддержать ее развитие. Средства фонда передаются в доверительное управление управляющей компании для получения дохода, который можно использовать на финансирование уставной деятельности, например, на инновационные образовательные программы, научные исследования, стимулирование педагогов и обучающихся.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 Ожидаемые результаты внедрения целевой модели наставничества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3.1. Планируемые результаты внедрения целевой модели наставничества: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измеримое улучшение показателей обучающихся в образовательной, культурной, спортивной и других сферах;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рост числа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обучающихся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прошедших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профориентационные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мероприятия;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партнерства;</w:t>
      </w:r>
      <w:proofErr w:type="gramEnd"/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практическая реализация концепции построения индивидуальных образовательных траекторий;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измеримое улучшение личных показателей эффективности педагогов и сотрудников региональных предприятий и организаций, связанное с развитием гибких навыков и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метакомпетенций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привлечение дополнительных ресурсов и сторонних инвестиций в развитие инновационных образовательных и социальных программ субъекта Российской Федерации и конкретных образовательных организаций благодаря формированию устойчивых связей между образовательными организациями и бизнесом, потенциальному формированию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эндаумента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сообщества благодарных выпускников.</w:t>
      </w:r>
    </w:p>
    <w:p w:rsidR="00272EFE" w:rsidRDefault="00272EFE" w:rsidP="00272EFE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3.2. Внедрение целевой модели наставничества может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повлиять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том числе на решение следующих проблем обучающегося общеобразовательной организации: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низкую мотивацию к учебе и саморазвитию, неудовлетворительную успеваемость;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отсутствие осознанной позиции, необходимой для выбора образовательной траектории и будущей профессиональной реализации;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невозможность качественной самореализации в рамках школьной программы;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отсутствие условий для формирования активной гражданской позиции;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низкую информированность о перспективах самостоятельного выбора векторов творческого развития, карьерных и иных возможностей;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кризис самоидентификации, разрушение или низкий уровень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сформированности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ценностных и жизненных позиций и ориентиров;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конфликтность, неразвитые коммуникативные навыки, затрудняющие горизонтальное и вертикальное социальное движение;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отсутствие условий для формирования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метапредметных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навыков и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метакомпетенций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высокий порог вхождения в образовательные программы, программы развития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талантливых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обучающихся;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падение эмоциональной устойчивости, психологические кризисы, связанные с общей трудностью подросткового периода на фоне отсутствия четких перспектив будущего и регулярной качественной поддержки;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проблемы адаптации в (новом) учебном коллективе: психологические, организационные и социальные.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3.3. Внедрение целевой модели наставничества может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повлиять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том числе на решение следующих проблем обучающегося профессиональной образовательной организации (далее - студента):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низкую мотивацию к учебе, неудовлетворительные образовательные результаты, дисциплинарные затруднения;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низкую информированность о карьерных и образовательных возможностях, отсутствие осознанного выбора пути будущего профессионального развития;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трудности, связанные с невозможностью эффективно совмещать получение образования и рабочую деятельность по специальности;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низкий уровень общей культуры, неразвитость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метакомпетенций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отсутствие или неразвитость навыков целеполагания, планирования и самореализации, пессимистичные ожидания от будущего и самого общества;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низкий уровень общепрофессиональных и профессиональных компетенций, как следствие -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невостребованность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на рынке;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отсутствие мотивации и возможностей для участия в программах поддержки обучающихся и выпускников;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невозможность реализовать свой предпринимательский или профессиональный потенциал в силу отсутствия опыта и ресурсов.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3.4. Внедрение целевой модели наставничества может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повлиять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том числе на решение следующих проблем региона: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трудовую неустроенность молодых специалистов и выпускников, влекущую за собой падение уровня жизни, рост неблагополучия и миграцию ценных трудовых кадров в иные регионы;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ценностную дезориентацию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обучающихся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приводящую как к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девиантному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так и к нейтральному в плане гражданской активности поведению;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отсутствие налаженной связи между разными уровнями образования в регионе;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устаревание рабочих резервов, приводящее к инерционному движению региональных предприятий, сокращению числа инициатив и инноваций, падению эффективности работы.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 Структура управления реализацией целевой модели наставничества в деятельности образовательных организаций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4.1. В структуру управления процессом внедрения и реализации целевой модели наставничества в образовательные организации входят: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орган исполнительной власти субъекта Российской Федерации (или местного самоуправления), осуществляющий государственное управление в сфере образования (далее - орган власти);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Региональный наставнический центр - организация (структурное подразделение организации), наделенная органом власти функциями по организационному, методическому и аналитическому сопровождению и мониторингу программ наставничества на территории соответствующего субъекта Российской Федерации;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общеобразовательные организации, профессиональные образовательные организации, организации дополнительного образования, осуществляющие реализацию программ наставничества;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организации и индивидуальные предприниматели, осуществляющие образовательную деятельность по дополнительным общеобразовательным программам;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промышленные и иные предприятия, организации любой формы собственности, индивидуальные предприниматели, функционирующие на территории региона, имеющие или планирующие реализовать партнерские соглашения с организациями, осуществляющими образовательную деятельность.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4.2.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Функции Регионального наставнического центра решением органа власти могут быть переданы уже существующей организации (подразделению организации), осуществляющей образовательную деятельность, региональному центру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WorldSkills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некоммерческой организации, организациям любой формы собственности, чья деятельность прямо связана с образовательной или воспитательной работой.</w:t>
      </w:r>
      <w:proofErr w:type="gramEnd"/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4.3. Высшее должностное лицо субъекта Российской Федерации при участии во внедрении целевой модели наставничества на территории соответствующего субъекта Российской Федерации: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принимает решение о внедрении целевой модели наставничества;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 необходимости обеспечивает организацию инфраструктуры и материально-техническое обеспечение программ наставничества.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4.4. Орган исполнительной власти субъекта Российской Федерации, осуществляющий государственное управление в сфере образования, при внедрении целевой модели наставничества на территории соответствующего субъекта Российской Федерации: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осуществляет координацию внедрения целевой модели наставничества;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обеспечивает реализацию мероприятий по внедрению целевой модели наставничества;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координирует работу Регионального наставнического центра;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обеспечивает развитие материально-технической базы, инфраструктуры и кадрового потенциала организаций, осуществляющих деятельность по реализации программ наставничества;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реализует меры по обеспечению доступности программ наставничества для обучающихся с особыми образовательными потребностями и индивидуальными возможностями, в том числе для обучающихся с ограниченными возможностями здоровья, обучающихся, проявивших выдающиеся способности, обучающихся, попавших в трудную жизненную ситуацию, а также обучающихся из малоимущих семей, проживающих в сельской местности и на труднодоступных и отдаленных территориях, детей-сирот (оставшихся без попечения родителей).</w:t>
      </w:r>
      <w:proofErr w:type="gramEnd"/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4.5. Задачи Регионального наставнического центра: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организационная, методическая, экспертно-консультационная, информационная и просветительская поддержка участников внедрения целевой модели наставничества;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выработка предложений по совместному использованию инфраструктуры в целях внедрения целевой модели наставничества;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 соответствующего субъекта Российской Федерации, а также лучших практик других субъектов Российской Федерации;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разработка предложений по совершенствованию региональной системы внедрения целевой модели наставничества;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содействие привлечению к реализации наставнических программ образовательных организаций; предприятий и организаций региона; государственных бюджетных учреждений культуры и спорта; юридических и физических лиц, чья деятельность связана с образовательной, спортивной, культурной и досуговой деятельностью;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сбор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результатов мониторинга реализации программ наставничества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образовательных организациях;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обеспечение реализации мер по дополнительному профессиональному образованию наставников и кураторов в различных форматах, в том числе с применением дистанционных образовательных технологий.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4.6. Орган исполнительной власти муниципального образования, осуществляющий управление в сфере образования, при участии во внедрении целевой модели наставничества на территории соответствующего муниципального образования: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согласовывает дорожные карты внедрения целевой модели наставничества, разработанные образовательными организациями, осуществляющими внедрение целевой модели;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контролирует реализацию мероприятий по внедрению целевой модели наставничества;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обеспечивает развитие инфраструктурных, материально-технических ресурсов и кадрового потенциала муниципальных организаций, осуществляющих образовательную деятельность по общеобразовательным, дополнительным общеобразовательным программам и образовательным программам среднего профессионального образования;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содействует привлечению к реализации программ наставничества образовательных организаций; предприятий и организаций региона; государственных бюджетных учреждений культуры и спорта; юридических и физических лиц, чья деятельность связана с образовательной, спортивной, культурной и досуговой деятельностью.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4.7. Функции образовательных организаций, осуществляющих внедрение целевой модели наставничества: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разработка и реализация мероприятий дорожной карты внедрения целевой модели;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реализация программ наставничества;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реализация кадровой политики, в том числе: привлечение, обучение и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деятельностью наставников, принимающих участие в программе наставничества;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назначение куратора внедрения целевой модели наставничества в образовательной организации;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инфраструктурное и материально-техническое обеспечение реализации программ наставничества;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осуществление персонифицированного учета обучающихся, молодых специалистов и педагогов, участвующих в программах наставничества;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внесение в формы федерального статистического наблюдения данных о количестве участников программ наставничества и предоставление этих форм в Министерство просвещения Российской Федерации;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проведение внутреннего мониторинга реализации и эффективности программ наставничества (в ведении образовательных организаций);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обеспечение формирования баз данных программ наставничества и лучших практик;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4.8. Куратор назначается решением руководителя образовательной организации, планирующей внедрить целевую модель наставничества. Куратором может стать представитель образовательной организации, представитель организации - партнера программы, представитель региональной некоммерческой организации, организации любой формы собственности, чья деятельность связана с реализацией программ наставничества, волонтерской деятельностью, образованием и воспитанием обучающихся.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 зоне ответственности куратора относятся следующие задачи: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сбор и работа с базой наставников и наставляемых;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организация обучения наставников (в том числе привлечение экспертов для проведения обучения);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контроль процедуры внедрения целевой модели наставничества;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контроль проведения программ наставничества;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участие в оценке вовлеченности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обучающихся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различные формы наставничества;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решение организационных вопросов, возникающих в процессе реализации модели;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мониторинг реализации и получение обратной связи от участников программы и иных причастных к программе лиц.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При создании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условий необходимого финансирования куратора программ наставничества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могут быть использованы ресурсы образовательных организаций региона, ресурсы партнеров программы, предприятий - участников программы, региональных некоммерческих организаций, коммерческих организаций, осуществляющих реализацию программ корпоративной социальной ответственности, и индивидуальных предпринимателей - филантропов.</w:t>
      </w:r>
    </w:p>
    <w:p w:rsidR="00272EFE" w:rsidRDefault="00272EFE" w:rsidP="00272EFE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4.9. Оценка вовлеченности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обучающихся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различные формы наставничества.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Сбор первичных данных для проведения оценки вовлеченности обучающихся в различные формы сопровождения и наставничества через персонифицированный учет участников программ наставничества в образовательной организации осуществляет куратор.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Для оценки вовлеченности участие в программе наставничества понимается как прохождение участником полного цикла программы наставничества. Соответствующая отметка проставляется куратором в базе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наставляемых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(примерная форма базы наставляемых представлена в Приложении).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 срок не позднее 20 января года, следующего за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отчетным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куратор вносит информацию о количестве участников программ наставничества в соответствующую форму федерального статистического наблюдения и направляет данную форму в Министерство просвещения Российской Федерации.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Министерство просвещения Российской Федерации на основании полученных данных проводит оценку доли обучающихся, вовлеченных в различные формы сопровождения и наставничества (отношение общего количества участников программ наставничества к общему числу обучающихся).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4.10. Комплект примерных нормативных документов, необходимых для внедрения целевой модели наставничества в субъектах Российской Федерации.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Процесс реализации целевой модели наставничества предполагает разработку ряда документов и издание ряда распорядительных актов.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4.10.1. Распорядительный акт органа исполнительной власти субъекта Российской Федерации, осуществляющего государственное управление в сфере образования, включающий: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основания для внедрения целевой модели наставничества в субъекте Российской Федерации;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сроки внедрения целевой модели наставничества в субъекте Российской Федерации;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сроки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проведения мониторинга эффективности программ наставничества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субъекте Российской Федерации;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назначение ответственного должностного лица за внедрение целевой модели наставничества в субъекте Российской Федерации;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перечень образовательных организаций, внедряющих целевую модель наставничества в субъекте Российской Федерации (Приложение);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планируемые результаты внедрения целевой модели наставничества в субъекте Российской Федерации (Приложение).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4.10.2. Распорядительный акт образовательной организации о внедрении целевой модели наставничества на уровне организации, включающий: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основания для внедрения целевой модели наставничества в образовательной организации;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сроки внедрения целевой модели наставничества в образовательной организации;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назначение ответственных за внедрение и реализацию целевой модели наставничества в образовательной организации с описанием обязанностей;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назначение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ответственных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за материально-техническое обеспечение программы наставничества в организации;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сроки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проведения мониторинга эффективности программ наставничества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планируемые результаты внедрения целевой модели наставничества в образовательной организации (Приложение);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утверждение положения о программе наставничества в образовательной организации (Приложение);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утверждение дорожной карты внедрения целевой модели наставничества (Приложение).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4.10.3. Положение о программе наставничества в образовательной организации является организационной основой для внедрения целевой модели наставничества, определяет формы программы наставничества, зоны ответственности, права и обязанности участников, а также функции субъектов программы наставничества.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Типовое положение о программе наставничества может включать в себя: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описание форм программ наставничества;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права, обязанности и задачи наставников, наставляемых, кураторов и законных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представителей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наставляемых в случае, если участник программы несовершеннолетний;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требования, выдвигаемые к наставникам, изъявляющим желание принять участие в программе;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процедуры отбора и обучения наставников;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процесс формирования пар и групп из наставника и наставляемого (наставляемых);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процесс закрепления наставнических пар;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формы и сроки отчетности наставника и куратора о процессе реализации программы наставничества;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формы и условия поощрения наставника;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критерии эффективности работы наставника;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условия публикации результатов программы наставничества на сайте образовательной организации и организаций-партнеров;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форма соглашения между наставником и наставляемым, а также законными представителями наставляемого в случае, если участник программы несовершеннолетний;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формы согласий на обработку персональных данных от участников наставнической программы или их законных представителей в случае, если участники несовершеннолетние.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4.10.4. Дорожная карта внедрения целевой модели наставничества включает в себя следующую информацию (примерная форма дорожной карты представлена в Приложении):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сроки реализации этапов программ наставничества;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мероприятия по информированию педагогического и родительского сообществ о проводимых мероприятиях по реализации программ наставничества;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мероприятия по привлечению наставников к реализации программ наставничества.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5. Механизмы мотивации и поощрения наставников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5.1. К числу лучших мотивирующих наставника факторов можно отнести поддержку системы наставничества на общественном, муниципальном и государственном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уровнях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Важно популяризировать роль наставника среди образовательных и общественных организаций; сообществ выпускников школ, профессиональных образовательных организаций, образовательных организаций высшего образования, детских домов; компаний-партнеров; ассоциаций психологов и психотерапевтов; волонтерских и благотворительных организаций; социальных сетей и т.п.; рассказывать о преимуществах роли наставника: возможностях личностного и социального роста, получения новых знаний и навыков.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5.2. В целях популяризации роли наставника можно рекомендовать следующие меры: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организацию и проведение фестивалей, форумов, конференций наставников на муниципальном, региональном и федеральном уровнях;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проведение конкурсов профессионального мастерства "Наставник года", "Лучшая пара "Наставник+" и т.д.;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поддержку системы наставничества через СМИ, создание специальной рубрики в социальных сетях или интернет-издании, например, "Наши наставники": истории о внедрении программы наставничества, о ее результатах, успешные истории взаимодействия наставника и наставляемого; интервью с известными людьми о том, кто был их наставником, почему это важно для них и т.д.);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участие руководителей всех уровней в программах наставничества;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организацию сообще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ств дл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я наставников с возможностью быстрого оповещения о новых интересных проектах, мероприятиях, разработках и т.д.;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проведение фотосессий с выпуском открыток, плакатов, календарей, постеров "Наши наставники", которые распространяются среди образовательных организаций, компаний, учреждений социальной сферы и т.д.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Общественное признание позволяет наставникам ощутить собственную востребованность, значимость и полезность не только для отдельно взятых людей, но для общества, региона, в котором они живут. Публичное признание значимости работы наставников для образовательной организации, компании, региона в целом, повышение их авторитета в коллективе будет способствовать расширению пула наставников.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5.3. Возможные нематериальные (моральные) формы поощрений наставников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Поощрение наставников по результатам участия в ежегодном конкурсе (премии) на лучшего наставника муниципалитета (региона). Кандидатуры претендентов предоставляются образовательными организациями в органы управления образованием. Порядок выбора лучшего наставника из числа представленных кандидатур утверждается приказом органа управления образованием субъекта Российской Федерации; наставник, признанный лучшим, может быть награжден (удостоен):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почетной грамотой;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почетного звания "Лучший наставник";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нагрудным знаком наставника;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иные.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Также могут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применятся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целях поощрения: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благодарственные письма родителям наставников из числа обучающихся;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размещение фотографий лучших наставников на Доске почета образовательной организации, организации (предприятия), предоставляющих наставника для участия в программе;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предоставление наставникам возможности принимать участие в формировании предложений, касающихся развития организации; рекомендации при трудоустройстве;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образовательное стимулирование (привлечение к участию в образовательных программах, семинарах, тренингах и иных мероприятиях подобного рода);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нематериальное поощрение на рабочем месте: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получение дополнительных дней к отпуску;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расширенная медицинская страховка;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иные льготы и преимущества, предусмотренные в организации, в которой работает наставник.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5.4. Создание системы нематериальной мотивации в виде иерархии наставников может повысить лояльность участников и являться дополнительной мотивацией как формат общественного признания и поощрения.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Основными элементами иерархической системы являются: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достижения: визуальное (материальное) выражение результата (медаль, поощрение, определенные очки). Достижения и награды рассматриваются наставником как признаки его заслуг, социального положения, символ причастности и большому проекту;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глобальное значение: мотивацию наставников увеличивает вера в успех программы наставничества, в создание новой и масштабной системы;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рейтинги и иерархия (персональная и групповая). Персональные рейтинги наставников публикуются для того, чтобы каждый участник программы мог видеть свой и чужие текущие уровни развития. Групповые рейтинги команд (наставник и наставляемый или наставник и группа наставляемых) публикуются на стендах образовательной организации, ее информационных порталах, на информационных порталах муниципальных методических центров по наставничеству для дополнительной мотивации всех участников программ.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5.5. В организации также могут быть предусмотрены различные виды материальных поощрений наставников, в том числе надбавка к заработной плате. В данном случае соответствующие изменения вносятся во внутренние документы организации, регламентирующие порядок оплаты труда и материального поощрения работников.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 Мониторинг и оценка результатов реализации программы наставничества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6.1.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  <w:proofErr w:type="gramEnd"/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Мониторинг программы наставничества состоит из двух основных этапов: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1) оценка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качества процесса реализации программы наставничества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 xml:space="preserve">2) оценка мотивационно-личностного,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компетентностного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профессионального роста участников, динамика образовательных результатов.</w:t>
      </w:r>
    </w:p>
    <w:p w:rsidR="00272EFE" w:rsidRDefault="00272EFE" w:rsidP="00272EFE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6.2. Этап 1. Мониторинг и оценка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качества процесса реализации программы наставничества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 - наставляемый". Мониторинг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помогает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Мониторинг процесса реализации программ наставничества направлен на две ключевые цели: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1) оценка качества реализуемой программы наставничества;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2) 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Среди задач, решаемых с помощью мониторинга, можно выделить сбор и анализ обратной связи от участников и кураторов (метод анкетирования), обоснование требований к процессу реализации программы наставничества, к личности наставника; контроль хода программы наставничества; описание особенностей взаимодействия наставника и наставляемого (группы наставляемых); определение условий эффективной программы наставничества; контроль показателей социального и профессионального благополучия;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анализ динамики качественных и количественных изменений отслеживаемых показателей.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 результатам опроса в рамках первого этапа мониторинга будет предоставлен SWOT-анализ (таблица 1) реализуемой программы наставничества.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Таблица 1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7"/>
        <w:gridCol w:w="2014"/>
        <w:gridCol w:w="1893"/>
      </w:tblGrid>
      <w:tr w:rsidR="00272EFE" w:rsidTr="00272EFE"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Факторы SWOT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Позитивные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Негативные</w:t>
            </w:r>
          </w:p>
        </w:tc>
      </w:tr>
      <w:tr w:rsidR="00272EFE" w:rsidTr="00272EFE"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Внутренние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Сильные стороны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Слабые стороны</w:t>
            </w:r>
          </w:p>
        </w:tc>
      </w:tr>
      <w:tr w:rsidR="00272EFE" w:rsidTr="00272EFE"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Внешние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Возможности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Угрозы</w:t>
            </w:r>
          </w:p>
        </w:tc>
      </w:tr>
    </w:tbl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Сбор данных для построения SWOT-анализа осуществляется посредством анкеты (Раздел 2.3 Приложения 2 к методическим рекомендациям ведомственного проектного офиса по внедрению целевой модели наставничества). Анкета содержит открытые вопросы, закрытые вопросы, вопросы с оценочным параметром. Анкета учитывает особенности требований ко всем пяти формам наставничества и является уникальной для каждой формы.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SWOT-анализ рекомендуется проводить куратору программы.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Для оценки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соответствия условий организации программы наставничества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требованиям модели и программ, по которым она осуществляется, принципам, заложенным в модели и программах, а также современным подходам и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технологиям, используется анкета куратора (Раздел 2.4 Приложения 2 к методическим рекомендациям ведомственного проектного офиса по внедрению целевой модели наставничества).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Среди оцениваемых параметров: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сильные и слабые стороны программы наставничества;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возможности программы наставничества и угрозы ее реализации;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процент посещения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обучающимися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творческих кружков, спортивных секций и внеурочных объединений;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процент реализации образовательных и культурных проектов на базе образовательного учреждения и совместно с представителем организаций (предприятий) наставника;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процент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обучающихся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прошедших профессиональные и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компетентностные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тесты;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количество выпускников средней школы или профессиональной образовательной организации, планирующих трудоустройство или уже трудоустроенных на предприятия в субъекте Российской Федерации;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количество обучающихся, планирующих стать наставниками в будущем и/или присоединиться к сообществу благодарных выпускников;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число обучающихся из числа студентов, поступающих на охваченные программой наставничества профессии и специальности среднего профессионального образования;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количество собственных профессиональных работ: статей, исследований, методических практик молодого специалиста, выступавшего в роли наставляемого.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6.3. Этап 2. Мониторинг и оценка влияния программ на всех участников.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Второй этап мониторинга позволяет оценить: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мотивационно-личностный и профессиональный рост участников программы наставничества;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развитие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метапредметных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навыков и уровня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вовлеченности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обучающихся в образовательную деятельность;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качество изменений в освоении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обучающимися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образовательных программ;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динамику образовательных результатов с учетом эмоционально-личностных, интеллектуальных, мотивационных и социальных черт участников.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"наставник - наставляемый".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Процесс мониторинга влияния программ на всех участников включает два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подэтапа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первый из которых осуществляется до входа в программу наставничества, а второй - по итогам прохождения программы (Разделы 2.1 и 2.2 Приложения 2 к методическим рекомендациям ведомственного проектного офиса по внедрению целевой модели наставничества).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Соответственно, все зависимые от воздействия программы наставничества параметры фиксируются дважды.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Мониторинг влияния программ наставничества на всех участников направлен на три ключевые цели.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 Глубокая оценка изучаемых личностных характеристик участников программы.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2. Оценка динамики характеристик образовательного процесса (оценка качества изменений в освоении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обучающимися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образовательных программ).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 Анализ и необходимая корректировка сформированных стратегий образования пар "наставник - наставляемый".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Среди задач, решаемых на данном этапе мониторинга, можно выделить: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научное и практическое обоснование требований к процессу организации программы наставничества, к личности наставника;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экспериментальное подтверждение необходимости выдвижения описанных в целевой модели требований к личности наставника;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определение условий эффективной программы наставничества;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сравнение характеристик образовательного процесса на "входе" и "выходе" реализуемой программы;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сравнение изучаемых личностных характеристик (вовлеченность, активность, самооценка, тревожность и др.) участников программы наставничества на "входе" и "выходе" реализуемой программы.</w:t>
      </w:r>
      <w:proofErr w:type="gramEnd"/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Результатом данного этапа мониторинга являются оценка и динамика: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развития гибких навыков участников программы;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уровня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мотивированности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осознанности участников в вопросах саморазвития и профессионального образования;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качества изменений в освоении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обучающимися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образовательных программ;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 xml:space="preserve">степени включенности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обучающихся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образовательные процессы организации;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качества адаптации молодого специалиста на потенциальном месте работы, удовлетворенности педагогов собственной профессиональной деятельностью, а также описание психологического климата в школе.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Все это позволит увидеть, как повлияла программа наставничества на участников, и спрогнозировать их дальнейшее развитие. Другим результатом мониторинга будут данные анализа и внесенные на их основании корректировки в рекомендации наиболее целесообразного объединения участников в пары "наставник - наставляемый".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Оценку степени включенности участников программы в ее этапы, уровень личной удовлетворенности программой и динамики развития различных навыков, а также оценку качества изменений в освоении обучающимися соответствующих образовательных программ можно провести с помощью материалов, представленных в разделах 2.5 и 2.6 Приложения 2 к методическим рекомендациям ведомственного проектного офиса по внедрению целевой модели наставничества.</w:t>
      </w:r>
      <w:proofErr w:type="gramEnd"/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Среди оцениваемых параметров: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вовлеченность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обучающихся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образовательную деятельность;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успеваемость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обучающихся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по основным предметам;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уровень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сформированности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гибких навыков;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желание посещения школы (для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обучающихся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уровень личностной тревожности (для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обучающихся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понимание собственного будущего (для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обучающихся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эмоциональное состояние при посещении школы (для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обучающихся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желание высокой школьной успеваемости (для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обучающихся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уровень профессионального выгорания (для педагогов);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удовлетворенность профессией (для педагогов);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психологический климат в педагогическом коллективе (для педагогов);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успешность (для работодателей);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ожидаемый и реальный уровень включенности (для работодателей);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ожидаемый и реальный процент возможных приглашений на стажировку (для работодателей).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7. Показатели эффективности внедрения целевой модели наставничества в субъектах Российской Федерации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5"/>
        <w:gridCol w:w="585"/>
        <w:gridCol w:w="585"/>
      </w:tblGrid>
      <w:tr w:rsidR="00272EFE" w:rsidTr="00272EFE"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2024 г.</w:t>
            </w:r>
          </w:p>
        </w:tc>
      </w:tr>
      <w:tr w:rsidR="00272EFE" w:rsidTr="00272EFE"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Доля детей в возрасте от 10 до 19 лет, проживающих в субъекте Российской Федерации, вошедших в программы наставничества в роли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наставляемого, %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70</w:t>
            </w:r>
          </w:p>
        </w:tc>
      </w:tr>
      <w:tr w:rsidR="00272EFE" w:rsidTr="00272EFE"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(отношение количества детей в возрасте от 10 до 19 лет, вошедших в программы наставничества в роли наставляемого, к общему количеству детей, проживающих в субъекте Российской Федерации)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72EFE" w:rsidRDefault="00272EF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72EFE" w:rsidRDefault="00272EF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272EFE" w:rsidTr="00272EFE"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Доля детей и подростков в возрасте от 15 до 19 лет, проживающих в субъекте Российской Федерации, вошедших в программы наставничества в роли наставника, %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10</w:t>
            </w:r>
          </w:p>
        </w:tc>
      </w:tr>
      <w:tr w:rsidR="00272EFE" w:rsidTr="00272EFE"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(отношение количества детей и подростков в возрасте от 15 до 19 лет, вошедших в программы наставничества в роли наставника, к общему количеству детей и подростков в возрасте от 15 до 19 лет, проживающих в субъекте Российской Федерации)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72EFE" w:rsidRDefault="00272EF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72EFE" w:rsidRDefault="00272EF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272EFE" w:rsidTr="00272EFE"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Доля учителей - молодых специалистов (с опытом работы от 0 до 3 лет), проживающих в субъекте Российской Федерации, вошедших в программы наставничества в роли наставляемого, %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70</w:t>
            </w:r>
          </w:p>
        </w:tc>
      </w:tr>
      <w:tr w:rsidR="00272EFE" w:rsidTr="00272EFE"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(отношение количества учителей - молодых специалистов, вошедших в программы наставничества в роли наставляемого, к общему количеству учителей - молодых специалистов, проживающих в субъекте Российской Федерации)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72EFE" w:rsidRDefault="00272EF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72EFE" w:rsidRDefault="00272EF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272EFE" w:rsidTr="00272EFE"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Доля предприятий (организаций) от общего количества предприятий, осуществляющих деятельность в субъекте Российской Федерации, вошедших в программы наставничества, предоставив своих наставников, %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30</w:t>
            </w:r>
          </w:p>
        </w:tc>
      </w:tr>
      <w:tr w:rsidR="00272EFE" w:rsidTr="00272EFE"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(отношение количества предприятий, предоставивших своих сотрудников для участия в программах наставничества в роли наставников, к общему количеству предприятий, осуществляющих деятельность в субъекте Российской Федерации)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72EFE" w:rsidRDefault="00272EF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72EFE" w:rsidRDefault="00272EF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272EFE" w:rsidTr="00272EFE"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Уровень удовлетворенности наставляемых участием в программах наставничества, % (опросный)</w:t>
            </w:r>
            <w:proofErr w:type="gramEnd"/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85</w:t>
            </w:r>
          </w:p>
        </w:tc>
      </w:tr>
      <w:tr w:rsidR="00272EFE" w:rsidTr="00272EFE"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(отношение количества наставляемых, удовлетворенных участием в программах наставничества, к общему количеству наставляемых, принявших участие в программах наставничества, реализуемых в субъекте Российской Федерации)</w:t>
            </w:r>
            <w:proofErr w:type="gramEnd"/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72EFE" w:rsidRDefault="00272EF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72EFE" w:rsidRDefault="00272EF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272EFE" w:rsidTr="00272EFE"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Уровень удовлетворенности наставников участием в программах наставничества, % (опросный)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85</w:t>
            </w:r>
          </w:p>
        </w:tc>
      </w:tr>
      <w:tr w:rsidR="00272EFE" w:rsidTr="00272EFE"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(отношение количества наставников, удовлетворенных участием в программах наставничества, к общему количеству наставников, принявших участие в программах наставничества, реализуемых в субъекте Российской Федерации)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72EFE" w:rsidRDefault="00272EF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72EFE" w:rsidRDefault="00272EF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8. Нормативные основы целевой модели наставничества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8.1. Целевая модель наставничества опирается на нормативные правовые акты Российской Федерации и разработана с целью формирования организационно-методической основы для внедрения в субъектах Российской Федерации и последующего развития механизмов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наставничества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обучающихся образовательных организаций, в том числе с применением лучших практик обмена опытом между обучающимися и привлечением представителей региональных предприятий и организаций к этой деятельности.</w:t>
      </w:r>
    </w:p>
    <w:p w:rsidR="00272EFE" w:rsidRDefault="00272EFE" w:rsidP="00272EFE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Стратегия развития воспитания в Российской Федерации до 2025 года &lt;1&gt; актуализирует задачу объединения усилий с целью реализации единой государственной политики в области воспитания, определения сущностных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характеристик современного воспитательного процесса, обмена инновационным опытом, популяризации лучших практик поддержки и раскрытия потенциала детей и подростков, в том числе посредством привлечения волонтеров-наставников.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--------------------------------</w:t>
      </w:r>
    </w:p>
    <w:p w:rsidR="00272EFE" w:rsidRDefault="00272EFE" w:rsidP="00272EF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&lt;1&gt; Стратегия развития воспитания в Российской Федерации до 2025 года, утвержденная </w:t>
      </w:r>
      <w:hyperlink r:id="rId5" w:history="1">
        <w:r>
          <w:rPr>
            <w:rStyle w:val="a3"/>
            <w:rFonts w:ascii="Arial" w:eastAsia="Times New Roman" w:hAnsi="Arial" w:cs="Arial"/>
            <w:color w:val="1B6DFD"/>
            <w:sz w:val="24"/>
            <w:szCs w:val="24"/>
            <w:u w:val="none"/>
            <w:bdr w:val="none" w:sz="0" w:space="0" w:color="auto" w:frame="1"/>
            <w:lang w:eastAsia="ru-RU"/>
          </w:rPr>
          <w:t>распоряжением Правительства Российской Федерации от 29 мая 2015 г. N 996-р</w:t>
        </w:r>
      </w:hyperlink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Нормативные правовые основания такой деятельности в Российской Федерации обеспечиваются рядом документов, соответствующих требованиям международных актов, конвенций, в том числе: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Всеобщей Декларацией добровольчества, принятой на XVI Всемирной конференции Международной ассоциации добровольческих усилий (IAVE, Амстердам, январь, 2001 год);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Конвенцией о правах ребенка, одобренной Генеральной Ассамблеей ООН 20 ноября 1989 г., ратифицированной Постановлением ВС СССР от 13 июня 1990 г. N 1559;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Резолюцией Европейского парламента 2011/2088(INI) от 1 декабря 2011 г. "О предотвращении преждевременного оставления школы".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8.2. Целевая модель наставничества реализуется в целях поддержки формирования личности, саморазвития и раскрытия потенциала обучающегося, педагога или молодого специалиста. Один из способов раскрытия потенциала - формирование активной жизненной позиции обучающихся и стремление заниматься добровольческой деятельностью, способствующей самореализации личности. Нормативную правовую базу этой деятельности в нашей стране в разных сферах на федеральном уровне обеспечивают: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Конституция Российской Федерации;</w:t>
      </w:r>
    </w:p>
    <w:p w:rsidR="00272EFE" w:rsidRDefault="00272EFE" w:rsidP="00272EF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6" w:history="1">
        <w:r>
          <w:rPr>
            <w:rStyle w:val="a3"/>
            <w:rFonts w:ascii="Arial" w:eastAsia="Times New Roman" w:hAnsi="Arial" w:cs="Arial"/>
            <w:color w:val="1B6DFD"/>
            <w:sz w:val="24"/>
            <w:szCs w:val="24"/>
            <w:u w:val="none"/>
            <w:bdr w:val="none" w:sz="0" w:space="0" w:color="auto" w:frame="1"/>
            <w:lang w:eastAsia="ru-RU"/>
          </w:rPr>
          <w:t>Гражданский кодекс Российской Федерации</w:t>
        </w:r>
      </w:hyperlink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</w:p>
    <w:p w:rsidR="00272EFE" w:rsidRDefault="00272EFE" w:rsidP="00272EF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7" w:history="1">
        <w:r>
          <w:rPr>
            <w:rStyle w:val="a3"/>
            <w:rFonts w:ascii="Arial" w:eastAsia="Times New Roman" w:hAnsi="Arial" w:cs="Arial"/>
            <w:color w:val="1B6DFD"/>
            <w:sz w:val="24"/>
            <w:szCs w:val="24"/>
            <w:u w:val="none"/>
            <w:bdr w:val="none" w:sz="0" w:space="0" w:color="auto" w:frame="1"/>
            <w:lang w:eastAsia="ru-RU"/>
          </w:rPr>
          <w:t>Трудовой кодекс Российской Федерации</w:t>
        </w:r>
      </w:hyperlink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</w:p>
    <w:p w:rsidR="00272EFE" w:rsidRDefault="00272EFE" w:rsidP="00272EF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Федеральный </w:t>
      </w:r>
      <w:hyperlink r:id="rId8" w:history="1">
        <w:r>
          <w:rPr>
            <w:rStyle w:val="a3"/>
            <w:rFonts w:ascii="Arial" w:eastAsia="Times New Roman" w:hAnsi="Arial" w:cs="Arial"/>
            <w:color w:val="1B6DFD"/>
            <w:sz w:val="24"/>
            <w:szCs w:val="24"/>
            <w:u w:val="none"/>
            <w:bdr w:val="none" w:sz="0" w:space="0" w:color="auto" w:frame="1"/>
            <w:lang w:eastAsia="ru-RU"/>
          </w:rPr>
          <w:t>закон от 11 августа 1995 г. N 135-ФЗ</w:t>
        </w:r>
      </w:hyperlink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"О благотворительной деятельности и благотворительных организациях";</w:t>
      </w:r>
    </w:p>
    <w:p w:rsidR="00272EFE" w:rsidRDefault="00272EFE" w:rsidP="00272EF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Федеральный </w:t>
      </w:r>
      <w:hyperlink r:id="rId9" w:history="1">
        <w:r>
          <w:rPr>
            <w:rStyle w:val="a3"/>
            <w:rFonts w:ascii="Arial" w:eastAsia="Times New Roman" w:hAnsi="Arial" w:cs="Arial"/>
            <w:color w:val="1B6DFD"/>
            <w:sz w:val="24"/>
            <w:szCs w:val="24"/>
            <w:u w:val="none"/>
            <w:bdr w:val="none" w:sz="0" w:space="0" w:color="auto" w:frame="1"/>
            <w:lang w:eastAsia="ru-RU"/>
          </w:rPr>
          <w:t>закон от 19 мая 1995 г. N 82-ФЗ</w:t>
        </w:r>
      </w:hyperlink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"Об общественных объединениях";</w:t>
      </w:r>
    </w:p>
    <w:p w:rsidR="00272EFE" w:rsidRDefault="00272EFE" w:rsidP="00272EF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Федеральный </w:t>
      </w:r>
      <w:hyperlink r:id="rId10" w:history="1">
        <w:r>
          <w:rPr>
            <w:rStyle w:val="a3"/>
            <w:rFonts w:ascii="Arial" w:eastAsia="Times New Roman" w:hAnsi="Arial" w:cs="Arial"/>
            <w:color w:val="1B6DFD"/>
            <w:sz w:val="24"/>
            <w:szCs w:val="24"/>
            <w:u w:val="none"/>
            <w:bdr w:val="none" w:sz="0" w:space="0" w:color="auto" w:frame="1"/>
            <w:lang w:eastAsia="ru-RU"/>
          </w:rPr>
          <w:t>закон от 12 января 1996 г. N 7-ФЗ</w:t>
        </w:r>
      </w:hyperlink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"О некоммерческих организациях";</w:t>
      </w:r>
    </w:p>
    <w:p w:rsidR="00272EFE" w:rsidRDefault="00272EFE" w:rsidP="00272EF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Концепция содействия развитию благотворительной деятельности и добровольчества в Российской Федерации на период до 2025 года, утвержденная </w:t>
      </w:r>
      <w:hyperlink r:id="rId11" w:history="1">
        <w:r>
          <w:rPr>
            <w:rStyle w:val="a3"/>
            <w:rFonts w:ascii="Arial" w:eastAsia="Times New Roman" w:hAnsi="Arial" w:cs="Arial"/>
            <w:color w:val="1B6DFD"/>
            <w:sz w:val="24"/>
            <w:szCs w:val="24"/>
            <w:u w:val="none"/>
            <w:bdr w:val="none" w:sz="0" w:space="0" w:color="auto" w:frame="1"/>
            <w:lang w:eastAsia="ru-RU"/>
          </w:rPr>
          <w:t>распоряжением Правительства Российской Федерации от 15 ноября 2019 г. N 2705-р</w:t>
        </w:r>
      </w:hyperlink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).</w:t>
      </w:r>
      <w:proofErr w:type="gramEnd"/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8.3. Наставническую деятельность, в том числе в образовательной среде, регламентируют:</w:t>
      </w:r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N 45 от 14 мая 2010 г.);</w:t>
      </w:r>
      <w:proofErr w:type="gramEnd"/>
    </w:p>
    <w:p w:rsidR="00272EFE" w:rsidRDefault="00272EFE" w:rsidP="00272EF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Основы государственной молодежной политики Российской Федерации на период до 2025 года, утвержденные распоряжением Правительства Российской Федерации от 29 ноября 2014 г. N 2403-Р);</w:t>
      </w:r>
      <w:proofErr w:type="gramEnd"/>
    </w:p>
    <w:p w:rsidR="00272EFE" w:rsidRDefault="00272EFE" w:rsidP="00272EF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Федеральный </w:t>
      </w:r>
      <w:hyperlink r:id="rId12" w:history="1">
        <w:r>
          <w:rPr>
            <w:rStyle w:val="a3"/>
            <w:rFonts w:ascii="Arial" w:eastAsia="Times New Roman" w:hAnsi="Arial" w:cs="Arial"/>
            <w:color w:val="1B6DFD"/>
            <w:sz w:val="24"/>
            <w:szCs w:val="24"/>
            <w:u w:val="none"/>
            <w:bdr w:val="none" w:sz="0" w:space="0" w:color="auto" w:frame="1"/>
            <w:lang w:eastAsia="ru-RU"/>
          </w:rPr>
          <w:t>закон от 29 декабря 2012 г. N 273-ФЗ</w:t>
        </w:r>
      </w:hyperlink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"Об образовании в Российской Федерации".</w:t>
      </w:r>
    </w:p>
    <w:p w:rsidR="00272EFE" w:rsidRDefault="00272EFE" w:rsidP="00272EFE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Приложение</w:t>
      </w:r>
    </w:p>
    <w:p w:rsidR="00272EFE" w:rsidRDefault="00272EFE" w:rsidP="00272EFE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ПРИМЕРНЫЕ ФОРМЫ ДОКУМЕНТОВ</w:t>
      </w:r>
    </w:p>
    <w:p w:rsidR="00272EFE" w:rsidRDefault="00272EFE" w:rsidP="00272EFE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1. Примерная форма базы </w:t>
      </w:r>
      <w:proofErr w:type="gram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наставляемых</w:t>
      </w:r>
      <w:proofErr w:type="gramEnd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"/>
        <w:gridCol w:w="842"/>
        <w:gridCol w:w="880"/>
        <w:gridCol w:w="842"/>
        <w:gridCol w:w="842"/>
        <w:gridCol w:w="608"/>
        <w:gridCol w:w="633"/>
        <w:gridCol w:w="889"/>
        <w:gridCol w:w="790"/>
        <w:gridCol w:w="682"/>
        <w:gridCol w:w="659"/>
        <w:gridCol w:w="876"/>
        <w:gridCol w:w="745"/>
      </w:tblGrid>
      <w:tr w:rsidR="00272EFE" w:rsidTr="00272EFE"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ФИО </w:t>
            </w:r>
            <w:proofErr w:type="gram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наставляемого</w:t>
            </w:r>
            <w:proofErr w:type="gram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Контактные данные для связи (данные представителя)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Год рождения наставляемого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Основной запрос </w:t>
            </w:r>
            <w:proofErr w:type="gram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наставляемого</w:t>
            </w:r>
            <w:proofErr w:type="gram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Дата вхождения в программу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ФИО наставника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Форма наставничества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Место работы/учебы наставника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Дата завершения программы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Результаты программы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Ссылка на кейс/отзыв </w:t>
            </w:r>
            <w:proofErr w:type="gram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наставляемого</w:t>
            </w:r>
            <w:proofErr w:type="gramEnd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размещенные на сайте организации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Отметка о прохождении программы</w:t>
            </w:r>
          </w:p>
        </w:tc>
      </w:tr>
      <w:tr w:rsidR="00272EFE" w:rsidTr="00272EFE"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</w:tr>
      <w:tr w:rsidR="00272EFE" w:rsidTr="00272EFE"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</w:tr>
    </w:tbl>
    <w:p w:rsidR="00272EFE" w:rsidRDefault="00272EFE" w:rsidP="00272EFE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2. Примерная форма базы наставников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27"/>
        <w:gridCol w:w="544"/>
        <w:gridCol w:w="658"/>
        <w:gridCol w:w="605"/>
        <w:gridCol w:w="555"/>
        <w:gridCol w:w="527"/>
        <w:gridCol w:w="676"/>
        <w:gridCol w:w="740"/>
        <w:gridCol w:w="506"/>
        <w:gridCol w:w="742"/>
        <w:gridCol w:w="740"/>
        <w:gridCol w:w="702"/>
        <w:gridCol w:w="568"/>
        <w:gridCol w:w="549"/>
        <w:gridCol w:w="659"/>
      </w:tblGrid>
      <w:tr w:rsidR="00272EFE" w:rsidTr="00272EFE"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ФИО наставника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Контактные данные для связи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Место работы/учебы наставника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Основные компетенции наставника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Важные для программы достижения наставника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Интересы наставника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Желаемый возраст </w:t>
            </w:r>
            <w:proofErr w:type="gram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наставляемых</w:t>
            </w:r>
            <w:proofErr w:type="gram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Ресурс времени на программу наставничества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Дата вхождения в программу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ФИО </w:t>
            </w:r>
            <w:proofErr w:type="gram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наставляемого</w:t>
            </w:r>
            <w:proofErr w:type="gramEnd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(наставляемых)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Форма наставничества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Место работы/учебы </w:t>
            </w:r>
            <w:proofErr w:type="gram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наставляемого</w:t>
            </w:r>
            <w:proofErr w:type="gram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Дата завершения программы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Результаты программы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Ссылка на кейс/отзыв наставника, размещенные на сайте организации</w:t>
            </w:r>
          </w:p>
        </w:tc>
      </w:tr>
      <w:tr w:rsidR="00272EFE" w:rsidTr="00272EFE"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</w:tr>
      <w:tr w:rsidR="00272EFE" w:rsidTr="00272EFE"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</w:tr>
    </w:tbl>
    <w:p w:rsidR="00272EFE" w:rsidRDefault="00272EFE" w:rsidP="00272EFE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3. Примерная форма дорожной карты внедрения целевой модели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наставничества в образовательной организации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5"/>
        <w:gridCol w:w="680"/>
        <w:gridCol w:w="1730"/>
      </w:tblGrid>
      <w:tr w:rsidR="00272EFE" w:rsidTr="00272EFE"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72EFE" w:rsidTr="00272EFE"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Информирование педагогического сообщества образовательной организации о реализации программы наставничества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</w:tr>
      <w:tr w:rsidR="00272EFE" w:rsidTr="00272EFE"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Информирование родительского сообщества о планируемой реализации программы наставничества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</w:tr>
      <w:tr w:rsidR="00272EFE" w:rsidTr="00272EFE"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Встреча с сообществом выпускников и/или представителями региональных организаций и предприятий с целью информирования о реализации программы наставничества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</w:tr>
      <w:tr w:rsidR="00272EFE" w:rsidTr="00272EFE"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 xml:space="preserve">Встреча с </w:t>
            </w:r>
            <w:proofErr w:type="gram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образовательной организации с информированием о реализуемой программе наставничества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</w:tr>
      <w:tr w:rsidR="00272EFE" w:rsidTr="00272EFE"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Проведение анкетирования среди обучающихся/педагогов, желающих принять участие в программе наставничества. Сбор согласий на сбор и обработку персональных данных от совершеннолетних участников программы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72EFE" w:rsidRDefault="00272EF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</w:tr>
      <w:tr w:rsidR="00272EFE" w:rsidTr="00272EFE"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Сбор дополнительной информации о запросах наставляемых (обучающиеся/педагоги) от третьих лиц: классный руководитель, психолог, соцработник, родители. Сбор согласий на сбор и обработку персональных данных от законных представителей несовершеннолетних участников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</w:tr>
      <w:tr w:rsidR="00272EFE" w:rsidTr="00272EFE"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Анализ полученных от наставляемых и третьих лиц данных. Формирование базы </w:t>
            </w:r>
            <w:proofErr w:type="gram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наставляемых</w:t>
            </w:r>
            <w:proofErr w:type="gram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</w:tr>
      <w:tr w:rsidR="00272EFE" w:rsidTr="00272EFE"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Выбор форм наставничества, реализуемых в рамках текущей программы наставничества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</w:tr>
      <w:tr w:rsidR="00272EFE" w:rsidTr="00272EFE"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Оценка участников-наставляемых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</w:tr>
      <w:tr w:rsidR="00272EFE" w:rsidTr="00272EFE"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Проведение анкетирования среди потенциальных наставников, желающих принять участие в программе наставничества. Сбор согласий на сбор и обработку персональных данных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</w:tr>
      <w:tr w:rsidR="00272EFE" w:rsidTr="00272EFE"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Анализ заполненных анкет потенциальных наставников и сопоставление данных с анкетами наставляемых. Формирование базы наставников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</w:tr>
      <w:tr w:rsidR="00272EFE" w:rsidTr="00272EFE"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Оценка участников-наставников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</w:tr>
      <w:tr w:rsidR="00272EFE" w:rsidTr="00272EFE"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Проведение собеседования с наставниками (в некоторых случаях с привлечением психолога)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</w:tr>
      <w:tr w:rsidR="00272EFE" w:rsidTr="00272EFE"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Поиск экспертов и материалов </w:t>
            </w:r>
            <w:proofErr w:type="gram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проведение</w:t>
            </w:r>
            <w:proofErr w:type="gramEnd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обучения наставников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</w:tr>
      <w:tr w:rsidR="00272EFE" w:rsidTr="00272EFE"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Обучение наставников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</w:tr>
      <w:tr w:rsidR="00272EFE" w:rsidTr="00272EFE"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Организация групповой встречи наставников и наставляемых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</w:tr>
      <w:tr w:rsidR="00272EFE" w:rsidTr="00272EFE"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Проведение анкетирования на предмет предпочитаемого наставника/наставляемого после завершения групповой встречи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</w:tr>
      <w:tr w:rsidR="00272EFE" w:rsidTr="00272EFE"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Анализ анкет групповой встречи и соединение наставников и наставляемых в пары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</w:tr>
      <w:tr w:rsidR="00272EFE" w:rsidTr="00272EFE"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Информирование участников о сложившихся парах/группах. Закрепление пар/групп распоряжением руководителя образовательной организации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</w:tr>
      <w:tr w:rsidR="00272EFE" w:rsidTr="00272EFE"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Проведение первой, организационной, встречи наставника и наставляемого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</w:tr>
      <w:tr w:rsidR="00272EFE" w:rsidTr="00272EFE"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Проведение второй, пробной рабочей, встречи наставника и наставляемого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</w:tr>
      <w:tr w:rsidR="00272EFE" w:rsidTr="00272EFE"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Проведение встречи-планирования рабочего процесса в рамках программы наставничества с наставником и наставляемым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</w:tr>
      <w:tr w:rsidR="00272EFE" w:rsidTr="00272EFE"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Регулярные встречи наставника и наставляемого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</w:tr>
      <w:tr w:rsidR="00272EFE" w:rsidTr="00272EFE"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Сроки сбора обратной связи от участников программы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наставничества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</w:tr>
      <w:tr w:rsidR="00272EFE" w:rsidTr="00272EFE"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Проведение заключительной встречи наставника и наставляемого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</w:tr>
      <w:tr w:rsidR="00272EFE" w:rsidTr="00272EFE"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Проведение групповой заключительной встречи всех пар и групп наставников и наставляемых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</w:tr>
      <w:tr w:rsidR="00272EFE" w:rsidTr="00272EFE"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Анкетирование участников. Проведение мониторинга личной удовлетворенности участием в программе наставничества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</w:tr>
      <w:tr w:rsidR="00272EFE" w:rsidTr="00272EFE"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Приглашение на торжественное мероприятие всех участников программы наставничества, их родных, представителей организаций-партнеров, представителей администрации муниципалитета, представителей иных образовательных организаций и некоммерческих организаций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</w:tr>
      <w:tr w:rsidR="00272EFE" w:rsidTr="00272EFE"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Проведение торжественного мероприятия для подведения итогов программы наставничества и награждения лучших наставников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</w:tr>
      <w:tr w:rsidR="00272EFE" w:rsidTr="00272EFE"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мониторинга качества реализации программы наставничества</w:t>
            </w:r>
            <w:proofErr w:type="gram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</w:tr>
      <w:tr w:rsidR="00272EFE" w:rsidTr="00272EFE"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Оценка участников по заданным параметрам, проведение второго, заключающего этапа мониторинга влияния программ на всех участников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</w:tr>
      <w:tr w:rsidR="00272EFE" w:rsidTr="00272EFE"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Оформление итогов и процессов совместной работы в рамках программы наставничества в кейсы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</w:tr>
      <w:tr w:rsidR="00272EFE" w:rsidTr="00272EFE"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Публикация результатов программы наставничества, лучших наставников, кейсов на сайтах образовательной организации и организаций-партнеров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</w:tr>
      <w:tr w:rsidR="00272EFE" w:rsidTr="00272EFE"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Внесение данных об итогах реализации программы наставничества в базу наставников и базу наставляемых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2EFE" w:rsidRDefault="00272EFE">
            <w:pPr>
              <w:spacing w:after="0"/>
              <w:rPr>
                <w:rFonts w:cs="Times New Roman"/>
              </w:rPr>
            </w:pPr>
          </w:p>
        </w:tc>
      </w:tr>
    </w:tbl>
    <w:p w:rsidR="00272EFE" w:rsidRDefault="00272EFE" w:rsidP="00272EFE"/>
    <w:p w:rsidR="00B95FAA" w:rsidRDefault="00B95FAA"/>
    <w:sectPr w:rsidR="00B95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EFE"/>
    <w:rsid w:val="00272EFE"/>
    <w:rsid w:val="00B9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2EF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2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E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2EF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2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E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laws.ru/laws/Federalnyy-zakon-ot-11.08.1995-N-135-F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laws.ru/tk/" TargetMode="External"/><Relationship Id="rId12" Type="http://schemas.openxmlformats.org/officeDocument/2006/relationships/hyperlink" Target="https://rulaws.ru/laws/Federalnyy-zakon-ot-29.12.2012-N-273-F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laws.ru/gk-rf/" TargetMode="External"/><Relationship Id="rId11" Type="http://schemas.openxmlformats.org/officeDocument/2006/relationships/hyperlink" Target="https://rulaws.ru/goverment/Rasporyazhenie-Pravitelstva-RF-ot-15.11.2019-N-2705-r/" TargetMode="External"/><Relationship Id="rId5" Type="http://schemas.openxmlformats.org/officeDocument/2006/relationships/hyperlink" Target="https://rulaws.ru/goverment/Rasporyazhenie-Pravitelstva-RF-ot-29.05.2015-N-996-r/" TargetMode="External"/><Relationship Id="rId10" Type="http://schemas.openxmlformats.org/officeDocument/2006/relationships/hyperlink" Target="https://rulaws.ru/laws/Federalnyy-zakon-ot-12.01.1996-N-7-F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laws.ru/laws/Federalnyy-zakon-ot-19.05.1995-N-82-F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7645</Words>
  <Characters>43580</Characters>
  <Application>Microsoft Office Word</Application>
  <DocSecurity>0</DocSecurity>
  <Lines>363</Lines>
  <Paragraphs>102</Paragraphs>
  <ScaleCrop>false</ScaleCrop>
  <Company/>
  <LinksUpToDate>false</LinksUpToDate>
  <CharactersWithSpaces>51123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2</cp:revision>
  <dcterms:created xsi:type="dcterms:W3CDTF">2020-12-17T08:16:00Z</dcterms:created>
  <dcterms:modified xsi:type="dcterms:W3CDTF">2020-12-17T08:17:00Z</dcterms:modified>
</cp:coreProperties>
</file>