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639" w:rsidRDefault="00706621">
      <w:pPr>
        <w:jc w:val="center"/>
        <w:rPr>
          <w:rFonts w:hint="eastAsia"/>
        </w:rPr>
      </w:pPr>
      <w:bookmarkStart w:id="0" w:name="_GoBack"/>
      <w:bookmarkEnd w:id="0"/>
      <w:r>
        <w:rPr>
          <w:b/>
          <w:bCs/>
          <w:sz w:val="32"/>
          <w:szCs w:val="32"/>
        </w:rPr>
        <w:t xml:space="preserve">ПАМЯТКА </w:t>
      </w:r>
    </w:p>
    <w:p w:rsidR="00A00639" w:rsidRDefault="00706621">
      <w:pPr>
        <w:jc w:val="center"/>
        <w:rPr>
          <w:rFonts w:hint="eastAsia"/>
        </w:rPr>
      </w:pPr>
      <w:r>
        <w:rPr>
          <w:b/>
          <w:bCs/>
        </w:rPr>
        <w:t>ПО ИСПОЛЬЗОВАНИЮ «ПУШКИНСКОЙ КАРТЫ»</w:t>
      </w:r>
    </w:p>
    <w:p w:rsidR="00A00639" w:rsidRDefault="00A00639">
      <w:pPr>
        <w:rPr>
          <w:rFonts w:ascii="Arial" w:hAnsi="Arial" w:cs="Arial"/>
          <w:b/>
          <w:color w:val="444444"/>
          <w:sz w:val="19"/>
          <w:szCs w:val="28"/>
        </w:rPr>
      </w:pPr>
    </w:p>
    <w:p w:rsidR="00A00639" w:rsidRDefault="00706621">
      <w:pPr>
        <w:ind w:firstLine="567"/>
        <w:jc w:val="both"/>
        <w:rPr>
          <w:rFonts w:hint="eastAsia"/>
        </w:rPr>
      </w:pPr>
      <w:r>
        <w:rPr>
          <w:rFonts w:ascii="Times New Roman" w:hAnsi="Times New Roman" w:cs="Times New Roman"/>
          <w:color w:val="000000"/>
          <w:sz w:val="22"/>
          <w:szCs w:val="22"/>
        </w:rPr>
        <w:t xml:space="preserve">«Пушкинская карта» - мера социальной поддержки граждан России  - молодёжи </w:t>
      </w:r>
      <w:r>
        <w:rPr>
          <w:rFonts w:ascii="Times New Roman" w:hAnsi="Times New Roman" w:cs="Times New Roman"/>
          <w:b/>
          <w:color w:val="000000"/>
          <w:sz w:val="22"/>
          <w:szCs w:val="22"/>
        </w:rPr>
        <w:t xml:space="preserve">в возрасте от 14 до 22 лет,  </w:t>
      </w:r>
      <w:r>
        <w:rPr>
          <w:rFonts w:ascii="Times New Roman" w:hAnsi="Times New Roman" w:cs="Times New Roman"/>
          <w:color w:val="000000"/>
          <w:sz w:val="22"/>
          <w:szCs w:val="22"/>
        </w:rPr>
        <w:t>для</w:t>
      </w:r>
      <w:r>
        <w:rPr>
          <w:rFonts w:ascii="Times New Roman" w:hAnsi="Times New Roman" w:cs="Times New Roman"/>
          <w:b/>
          <w:color w:val="000000"/>
          <w:sz w:val="22"/>
          <w:szCs w:val="22"/>
        </w:rPr>
        <w:t xml:space="preserve"> </w:t>
      </w:r>
      <w:r>
        <w:rPr>
          <w:rFonts w:ascii="Times New Roman" w:hAnsi="Times New Roman" w:cs="Times New Roman"/>
          <w:color w:val="000000"/>
          <w:sz w:val="22"/>
          <w:szCs w:val="22"/>
        </w:rPr>
        <w:t>повышения доступности посещений организаций культуры (</w:t>
      </w:r>
      <w:r>
        <w:rPr>
          <w:rFonts w:ascii="Times New Roman" w:hAnsi="Times New Roman" w:cs="Times New Roman"/>
          <w:sz w:val="22"/>
          <w:szCs w:val="22"/>
        </w:rPr>
        <w:t>музеи, театры, кинотеатры, концертные залы, филармонии, консерватории)</w:t>
      </w:r>
      <w:r>
        <w:rPr>
          <w:rFonts w:ascii="Times New Roman" w:hAnsi="Times New Roman" w:cs="Times New Roman"/>
          <w:color w:val="000000"/>
          <w:sz w:val="22"/>
          <w:szCs w:val="22"/>
        </w:rPr>
        <w:t>.</w:t>
      </w:r>
    </w:p>
    <w:p w:rsidR="00A00639" w:rsidRDefault="00706621">
      <w:pPr>
        <w:ind w:firstLine="567"/>
        <w:jc w:val="both"/>
        <w:rPr>
          <w:rFonts w:hint="eastAsia"/>
        </w:rPr>
      </w:pPr>
      <w:r>
        <w:rPr>
          <w:rFonts w:ascii="Times New Roman" w:hAnsi="Times New Roman" w:cs="Times New Roman"/>
          <w:color w:val="000000"/>
          <w:sz w:val="22"/>
          <w:szCs w:val="22"/>
        </w:rPr>
        <w:t>В 2024 году номинал «Пушкинской карты» составляет 5000 рублей, средства необходимо потратить до 31 декабря, 1 января лимит карты будет пополнен до 5000 рублей (в случае наличия остатка, с вновь поступившей суммой он не суммируется)</w:t>
      </w:r>
      <w:bookmarkStart w:id="1" w:name="P0004"/>
      <w:bookmarkEnd w:id="1"/>
      <w:r>
        <w:rPr>
          <w:rFonts w:ascii="Times New Roman" w:hAnsi="Times New Roman" w:cs="Times New Roman"/>
          <w:color w:val="000000"/>
          <w:sz w:val="22"/>
          <w:szCs w:val="22"/>
        </w:rPr>
        <w:t>.</w:t>
      </w:r>
    </w:p>
    <w:p w:rsidR="00A00639" w:rsidRDefault="00A00639">
      <w:pPr>
        <w:rPr>
          <w:rFonts w:ascii="Times New Roman" w:hAnsi="Times New Roman" w:cs="Times New Roman"/>
          <w:color w:val="000000"/>
          <w:sz w:val="22"/>
          <w:szCs w:val="22"/>
        </w:rPr>
      </w:pPr>
    </w:p>
    <w:p w:rsidR="00A00639" w:rsidRDefault="00706621">
      <w:pPr>
        <w:rPr>
          <w:rFonts w:hint="eastAsia"/>
        </w:rPr>
      </w:pPr>
      <w:r>
        <w:rPr>
          <w:rFonts w:ascii="Times New Roman" w:hAnsi="Times New Roman" w:cs="Times New Roman"/>
          <w:b/>
          <w:bCs/>
          <w:color w:val="000000"/>
        </w:rPr>
        <w:t>По правилам программы «Пушкинская карта»:</w:t>
      </w:r>
    </w:p>
    <w:p w:rsidR="00A00639" w:rsidRDefault="00706621">
      <w:pPr>
        <w:jc w:val="both"/>
        <w:rPr>
          <w:rFonts w:hint="eastAsia"/>
        </w:rPr>
      </w:pPr>
      <w:r>
        <w:rPr>
          <w:rFonts w:ascii="Times New Roman" w:hAnsi="Times New Roman" w:cs="Times New Roman"/>
          <w:color w:val="000000"/>
        </w:rPr>
        <w:t>- Билет на культурное мероприятие  может купить только владелец карты и только себя.</w:t>
      </w:r>
    </w:p>
    <w:p w:rsidR="00A00639" w:rsidRDefault="00706621">
      <w:pPr>
        <w:jc w:val="both"/>
        <w:rPr>
          <w:rFonts w:hint="eastAsia"/>
        </w:rPr>
      </w:pPr>
      <w:r>
        <w:rPr>
          <w:rFonts w:ascii="Times New Roman" w:hAnsi="Times New Roman" w:cs="Times New Roman"/>
          <w:bCs/>
          <w:color w:val="000000"/>
        </w:rPr>
        <w:t>П</w:t>
      </w:r>
      <w:r>
        <w:rPr>
          <w:rFonts w:ascii="Times New Roman" w:hAnsi="Times New Roman" w:cs="Times New Roman"/>
          <w:color w:val="000000"/>
        </w:rPr>
        <w:t>олная афиша мероприятий представлена на портале «</w:t>
      </w:r>
      <w:proofErr w:type="spellStart"/>
      <w:r>
        <w:rPr>
          <w:rFonts w:ascii="Times New Roman" w:hAnsi="Times New Roman" w:cs="Times New Roman"/>
          <w:color w:val="000000"/>
        </w:rPr>
        <w:t>Культура</w:t>
      </w:r>
      <w:proofErr w:type="gramStart"/>
      <w:r>
        <w:rPr>
          <w:rFonts w:ascii="Times New Roman" w:hAnsi="Times New Roman" w:cs="Times New Roman"/>
          <w:color w:val="000000"/>
        </w:rPr>
        <w:t>.Р</w:t>
      </w:r>
      <w:proofErr w:type="gramEnd"/>
      <w:r>
        <w:rPr>
          <w:rFonts w:ascii="Times New Roman" w:hAnsi="Times New Roman" w:cs="Times New Roman"/>
          <w:color w:val="000000"/>
        </w:rPr>
        <w:t>Ф</w:t>
      </w:r>
      <w:proofErr w:type="spellEnd"/>
      <w:r>
        <w:rPr>
          <w:rFonts w:ascii="Times New Roman" w:hAnsi="Times New Roman" w:cs="Times New Roman"/>
          <w:color w:val="000000"/>
        </w:rPr>
        <w:t xml:space="preserve">», в Почта Банк </w:t>
      </w:r>
      <w:proofErr w:type="spellStart"/>
      <w:r>
        <w:rPr>
          <w:rFonts w:ascii="Times New Roman" w:hAnsi="Times New Roman" w:cs="Times New Roman"/>
          <w:color w:val="000000"/>
        </w:rPr>
        <w:t>Онлайн</w:t>
      </w:r>
      <w:proofErr w:type="spellEnd"/>
      <w:r>
        <w:rPr>
          <w:rFonts w:ascii="Times New Roman" w:hAnsi="Times New Roman" w:cs="Times New Roman"/>
          <w:color w:val="000000"/>
        </w:rPr>
        <w:t xml:space="preserve"> или приложении «</w:t>
      </w:r>
      <w:proofErr w:type="spellStart"/>
      <w:r>
        <w:rPr>
          <w:rFonts w:ascii="Times New Roman" w:hAnsi="Times New Roman" w:cs="Times New Roman"/>
          <w:color w:val="000000"/>
        </w:rPr>
        <w:t>Госуслуги.Культура</w:t>
      </w:r>
      <w:proofErr w:type="spellEnd"/>
      <w:r>
        <w:rPr>
          <w:rFonts w:ascii="Times New Roman" w:hAnsi="Times New Roman" w:cs="Times New Roman"/>
          <w:color w:val="000000"/>
        </w:rPr>
        <w:t>»;</w:t>
      </w:r>
    </w:p>
    <w:p w:rsidR="00A00639" w:rsidRDefault="00A00639">
      <w:pPr>
        <w:jc w:val="both"/>
        <w:rPr>
          <w:rFonts w:ascii="Times New Roman" w:hAnsi="Times New Roman"/>
        </w:rPr>
      </w:pPr>
    </w:p>
    <w:p w:rsidR="00A00639" w:rsidRDefault="00706621">
      <w:pPr>
        <w:jc w:val="both"/>
        <w:rPr>
          <w:rFonts w:hint="eastAsia"/>
        </w:rPr>
      </w:pPr>
      <w:r>
        <w:rPr>
          <w:rFonts w:ascii="Times New Roman" w:hAnsi="Times New Roman" w:cs="Times New Roman"/>
          <w:color w:val="000000"/>
        </w:rPr>
        <w:t xml:space="preserve">- Каждый приобретенный билет оформляется на конкретного владельца карты, </w:t>
      </w:r>
      <w:proofErr w:type="gramStart"/>
      <w:r>
        <w:rPr>
          <w:rFonts w:ascii="Times New Roman" w:hAnsi="Times New Roman" w:cs="Times New Roman"/>
          <w:color w:val="000000"/>
        </w:rPr>
        <w:t>при</w:t>
      </w:r>
      <w:proofErr w:type="gramEnd"/>
      <w:r>
        <w:rPr>
          <w:rFonts w:ascii="Times New Roman" w:hAnsi="Times New Roman" w:cs="Times New Roman"/>
          <w:color w:val="000000"/>
        </w:rPr>
        <w:t xml:space="preserve"> покупки билета всегда указываются личные данные держателя карты. При посещении мероприятия требует обязательного предъявления виртуальной или пластиковой карты и документа, удостоверяющего личность держателя карты (паспорта);</w:t>
      </w:r>
    </w:p>
    <w:p w:rsidR="00A00639" w:rsidRDefault="00A00639">
      <w:pPr>
        <w:jc w:val="both"/>
        <w:rPr>
          <w:rFonts w:ascii="Times New Roman" w:hAnsi="Times New Roman" w:cs="Times New Roman"/>
          <w:color w:val="000000"/>
        </w:rPr>
      </w:pPr>
    </w:p>
    <w:p w:rsidR="00A00639" w:rsidRDefault="00706621">
      <w:pPr>
        <w:jc w:val="both"/>
        <w:rPr>
          <w:rFonts w:hint="eastAsia"/>
        </w:rPr>
      </w:pPr>
      <w:r>
        <w:rPr>
          <w:rFonts w:ascii="Times New Roman" w:hAnsi="Times New Roman" w:cs="Times New Roman"/>
          <w:color w:val="000000"/>
        </w:rPr>
        <w:t>- На одно мероприятие можно приобрести только один билет (если мероприятие понравилось — его можно посетить снова, купив новый билет);</w:t>
      </w:r>
    </w:p>
    <w:p w:rsidR="00A00639" w:rsidRDefault="00A00639">
      <w:pPr>
        <w:jc w:val="both"/>
        <w:rPr>
          <w:rFonts w:ascii="Times New Roman" w:hAnsi="Times New Roman" w:cs="Times New Roman"/>
          <w:color w:val="000000"/>
        </w:rPr>
      </w:pPr>
    </w:p>
    <w:p w:rsidR="00A00639" w:rsidRDefault="00706621">
      <w:pPr>
        <w:jc w:val="both"/>
        <w:rPr>
          <w:rFonts w:hint="eastAsia"/>
        </w:rPr>
      </w:pPr>
      <w:r>
        <w:rPr>
          <w:rFonts w:ascii="Times New Roman" w:hAnsi="Times New Roman" w:cs="Times New Roman"/>
          <w:b/>
          <w:bCs/>
          <w:color w:val="000000"/>
        </w:rPr>
        <w:t xml:space="preserve">- </w:t>
      </w:r>
      <w:r>
        <w:rPr>
          <w:rFonts w:ascii="Times New Roman" w:hAnsi="Times New Roman" w:cs="Times New Roman"/>
          <w:color w:val="000000"/>
        </w:rPr>
        <w:t>Нельзя поп</w:t>
      </w:r>
      <w:r>
        <w:rPr>
          <w:rFonts w:ascii="Times New Roman" w:hAnsi="Times New Roman" w:cs="Times New Roman"/>
          <w:bCs/>
          <w:color w:val="000000"/>
        </w:rPr>
        <w:t>олнять карту собственными средствами;</w:t>
      </w:r>
    </w:p>
    <w:p w:rsidR="00A00639" w:rsidRDefault="00A00639">
      <w:pPr>
        <w:rPr>
          <w:rFonts w:ascii="Times New Roman" w:hAnsi="Times New Roman"/>
          <w:color w:val="000000"/>
        </w:rPr>
      </w:pPr>
    </w:p>
    <w:p w:rsidR="00A00639" w:rsidRDefault="00706621">
      <w:pPr>
        <w:rPr>
          <w:rFonts w:hint="eastAsia"/>
        </w:rPr>
      </w:pPr>
      <w:r>
        <w:rPr>
          <w:rFonts w:ascii="Times New Roman" w:hAnsi="Times New Roman" w:cs="Times New Roman"/>
          <w:bCs/>
          <w:color w:val="000000"/>
        </w:rPr>
        <w:t>- Нельзя обналичить или потратить средства «Пушкинской карты» на другие цели;</w:t>
      </w:r>
    </w:p>
    <w:p w:rsidR="00A00639" w:rsidRDefault="00A00639">
      <w:pPr>
        <w:jc w:val="both"/>
        <w:rPr>
          <w:rFonts w:ascii="Times New Roman" w:hAnsi="Times New Roman" w:cs="Times New Roman"/>
          <w:b/>
          <w:bCs/>
          <w:color w:val="000000"/>
        </w:rPr>
      </w:pPr>
    </w:p>
    <w:p w:rsidR="00A00639" w:rsidRDefault="00706621">
      <w:pPr>
        <w:pStyle w:val="a1"/>
        <w:rPr>
          <w:rFonts w:hint="eastAsia"/>
        </w:rPr>
      </w:pPr>
      <w:r>
        <w:rPr>
          <w:rFonts w:ascii="Times New Roman" w:hAnsi="Times New Roman"/>
        </w:rPr>
        <w:t>- Возврат билетов, оплаченных картой, осуществляется в соответствии с правилами возврата, принятыми учреждением культуры или билетным оператором, у которого был приобретен билет;</w:t>
      </w:r>
    </w:p>
    <w:p w:rsidR="00A00639" w:rsidRDefault="00706621">
      <w:pPr>
        <w:pStyle w:val="a1"/>
        <w:rPr>
          <w:rFonts w:hint="eastAsia"/>
        </w:rPr>
      </w:pPr>
      <w:r>
        <w:rPr>
          <w:rFonts w:ascii="Times New Roman" w:hAnsi="Times New Roman"/>
        </w:rPr>
        <w:t xml:space="preserve">- Возврат стоимости билетов осуществляется только на карту, использованную при покупке билета. Баланс карты пополнится на сумму, которая была списана при покупке билета. Возврат денежных средств на другую карту или наличными не предусмотрен. </w:t>
      </w:r>
    </w:p>
    <w:p w:rsidR="00A00639" w:rsidRDefault="00706621">
      <w:pPr>
        <w:rPr>
          <w:rFonts w:hint="eastAsia"/>
        </w:rPr>
      </w:pPr>
      <w:r>
        <w:rPr>
          <w:rFonts w:ascii="Times New Roman" w:hAnsi="Times New Roman" w:cs="Times New Roman"/>
          <w:b/>
          <w:bCs/>
          <w:color w:val="000000"/>
        </w:rPr>
        <w:t>Запрещено:</w:t>
      </w:r>
    </w:p>
    <w:p w:rsidR="00A00639" w:rsidRDefault="00A00639">
      <w:pPr>
        <w:rPr>
          <w:rFonts w:ascii="Times New Roman" w:hAnsi="Times New Roman"/>
        </w:rPr>
      </w:pPr>
    </w:p>
    <w:p w:rsidR="00A00639" w:rsidRDefault="00706621">
      <w:pPr>
        <w:rPr>
          <w:rFonts w:hint="eastAsia"/>
        </w:rPr>
      </w:pPr>
      <w:r>
        <w:rPr>
          <w:rFonts w:ascii="Times New Roman" w:hAnsi="Times New Roman" w:cs="Times New Roman"/>
          <w:bCs/>
          <w:color w:val="000000"/>
        </w:rPr>
        <w:t xml:space="preserve">- Приобретать билеты на мероприятия для третьих лиц (запрещается передавать, продавать и дарить </w:t>
      </w:r>
      <w:proofErr w:type="gramStart"/>
      <w:r>
        <w:rPr>
          <w:rFonts w:ascii="Times New Roman" w:hAnsi="Times New Roman" w:cs="Times New Roman"/>
          <w:bCs/>
          <w:color w:val="000000"/>
        </w:rPr>
        <w:t>билеты</w:t>
      </w:r>
      <w:proofErr w:type="gramEnd"/>
      <w:r>
        <w:rPr>
          <w:rFonts w:ascii="Times New Roman" w:hAnsi="Times New Roman" w:cs="Times New Roman"/>
          <w:bCs/>
          <w:color w:val="000000"/>
        </w:rPr>
        <w:t xml:space="preserve"> купленные по «Пушкинской карте» любому другому человеку).</w:t>
      </w:r>
    </w:p>
    <w:p w:rsidR="00A00639" w:rsidRDefault="00A00639">
      <w:pPr>
        <w:rPr>
          <w:rFonts w:ascii="Times New Roman" w:hAnsi="Times New Roman"/>
        </w:rPr>
      </w:pPr>
    </w:p>
    <w:p w:rsidR="00A00639" w:rsidRDefault="00A00639">
      <w:pPr>
        <w:rPr>
          <w:rFonts w:ascii="Times New Roman" w:hAnsi="Times New Roman"/>
        </w:rPr>
      </w:pPr>
    </w:p>
    <w:p w:rsidR="00A00639" w:rsidRDefault="00706621">
      <w:pPr>
        <w:rPr>
          <w:rFonts w:hint="eastAsia"/>
        </w:rPr>
      </w:pPr>
      <w:r>
        <w:rPr>
          <w:rFonts w:ascii="Times New Roman" w:hAnsi="Times New Roman" w:cs="Times New Roman"/>
          <w:b/>
          <w:bCs/>
          <w:color w:val="000000"/>
        </w:rPr>
        <w:t>Последствия нарушений правил программы:</w:t>
      </w:r>
    </w:p>
    <w:p w:rsidR="00A00639" w:rsidRDefault="00A00639">
      <w:pPr>
        <w:rPr>
          <w:rFonts w:ascii="Times New Roman" w:hAnsi="Times New Roman" w:cs="Times New Roman"/>
          <w:b/>
          <w:color w:val="000000"/>
        </w:rPr>
      </w:pPr>
    </w:p>
    <w:p w:rsidR="00A00639" w:rsidRDefault="00706621">
      <w:pPr>
        <w:ind w:firstLine="567"/>
        <w:jc w:val="both"/>
        <w:rPr>
          <w:rFonts w:hint="eastAsia"/>
        </w:rPr>
      </w:pPr>
      <w:r>
        <w:rPr>
          <w:rFonts w:ascii="Times New Roman" w:hAnsi="Times New Roman" w:cs="Times New Roman"/>
          <w:b/>
          <w:bCs/>
          <w:color w:val="000000"/>
        </w:rPr>
        <w:t>Блокирование карты происходит с момента ВЫЯВЛЕНИЯ нарушения.</w:t>
      </w:r>
    </w:p>
    <w:p w:rsidR="00A00639" w:rsidRDefault="00A00639">
      <w:pPr>
        <w:ind w:firstLine="567"/>
        <w:jc w:val="both"/>
        <w:rPr>
          <w:rFonts w:ascii="Times New Roman" w:hAnsi="Times New Roman"/>
          <w:b/>
          <w:bCs/>
        </w:rPr>
      </w:pPr>
    </w:p>
    <w:p w:rsidR="00A00639" w:rsidRDefault="00706621">
      <w:pPr>
        <w:rPr>
          <w:rFonts w:hint="eastAsia"/>
        </w:rPr>
      </w:pPr>
      <w:r>
        <w:rPr>
          <w:rFonts w:ascii="Times New Roman" w:hAnsi="Times New Roman" w:cs="Times New Roman"/>
          <w:color w:val="000000"/>
        </w:rPr>
        <w:t>- Любое однократное нарушение правил программы влечет блокирование карты до конца календарного года (до 31 декабря года, в течение которого произошло нарушение);</w:t>
      </w:r>
    </w:p>
    <w:p w:rsidR="00A00639" w:rsidRDefault="00A00639">
      <w:pPr>
        <w:rPr>
          <w:rFonts w:ascii="Times New Roman" w:hAnsi="Times New Roman" w:cs="Times New Roman"/>
          <w:b/>
          <w:color w:val="000000"/>
        </w:rPr>
      </w:pPr>
    </w:p>
    <w:p w:rsidR="00A00639" w:rsidRDefault="00706621">
      <w:pPr>
        <w:rPr>
          <w:rFonts w:hint="eastAsia"/>
        </w:rPr>
      </w:pPr>
      <w:r>
        <w:rPr>
          <w:rFonts w:ascii="Times New Roman" w:hAnsi="Times New Roman" w:cs="Times New Roman"/>
          <w:color w:val="000000"/>
        </w:rPr>
        <w:t>- Повторное нарушение повлечет блокирование карты на 365 дней с момента выявления нарушения;</w:t>
      </w:r>
    </w:p>
    <w:p w:rsidR="00A00639" w:rsidRDefault="00A00639">
      <w:pPr>
        <w:rPr>
          <w:rFonts w:ascii="Times New Roman" w:hAnsi="Times New Roman" w:cs="Times New Roman"/>
          <w:b/>
          <w:color w:val="000000"/>
        </w:rPr>
      </w:pPr>
    </w:p>
    <w:p w:rsidR="00706621" w:rsidRDefault="00706621">
      <w:pPr>
        <w:rPr>
          <w:rFonts w:hint="eastAsia"/>
        </w:rPr>
      </w:pPr>
      <w:r>
        <w:rPr>
          <w:rFonts w:ascii="Times New Roman" w:hAnsi="Times New Roman" w:cs="Times New Roman"/>
          <w:color w:val="000000"/>
        </w:rPr>
        <w:t>- Третье нарушение правил программы  - бессрочное исключение пользователя из программы "Пушкинская карта".</w:t>
      </w:r>
    </w:p>
    <w:sectPr w:rsidR="00706621" w:rsidSect="00A00639">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125006"/>
    <w:rsid w:val="00125006"/>
    <w:rsid w:val="00706621"/>
    <w:rsid w:val="00A00639"/>
    <w:rsid w:val="00A00C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639"/>
    <w:pPr>
      <w:suppressAutoHyphens/>
    </w:pPr>
    <w:rPr>
      <w:rFonts w:ascii="Liberation Serif" w:eastAsia="SimSun" w:hAnsi="Liberation Serif" w:cs="Lucida Sans"/>
      <w:kern w:val="2"/>
      <w:sz w:val="24"/>
      <w:szCs w:val="24"/>
      <w:lang w:eastAsia="zh-CN" w:bidi="hi-IN"/>
    </w:rPr>
  </w:style>
  <w:style w:type="paragraph" w:styleId="4">
    <w:name w:val="heading 4"/>
    <w:basedOn w:val="a0"/>
    <w:next w:val="a1"/>
    <w:qFormat/>
    <w:rsid w:val="00A00639"/>
    <w:pPr>
      <w:tabs>
        <w:tab w:val="num" w:pos="0"/>
      </w:tabs>
      <w:spacing w:before="120"/>
      <w:outlineLvl w:val="3"/>
    </w:pPr>
    <w:rPr>
      <w:rFonts w:ascii="Liberation Serif" w:eastAsia="SimSun" w:hAnsi="Liberation Serif"/>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A00639"/>
    <w:rPr>
      <w:rFonts w:ascii="Wingdings" w:hAnsi="Wingdings" w:cs="OpenSymbol"/>
    </w:rPr>
  </w:style>
  <w:style w:type="character" w:customStyle="1" w:styleId="WW8Num1z1">
    <w:name w:val="WW8Num1z1"/>
    <w:rsid w:val="00A00639"/>
    <w:rPr>
      <w:rFonts w:ascii="Symbol" w:hAnsi="Symbol" w:cs="OpenSymbol"/>
    </w:rPr>
  </w:style>
  <w:style w:type="character" w:customStyle="1" w:styleId="WW8Num2z0">
    <w:name w:val="WW8Num2z0"/>
    <w:rsid w:val="00A00639"/>
    <w:rPr>
      <w:rFonts w:ascii="Wingdings" w:hAnsi="Wingdings" w:cs="OpenSymbol"/>
    </w:rPr>
  </w:style>
  <w:style w:type="character" w:customStyle="1" w:styleId="WW8Num2z1">
    <w:name w:val="WW8Num2z1"/>
    <w:rsid w:val="00A00639"/>
    <w:rPr>
      <w:rFonts w:ascii="Symbol" w:hAnsi="Symbol" w:cs="OpenSymbol"/>
    </w:rPr>
  </w:style>
  <w:style w:type="character" w:customStyle="1" w:styleId="WW8Num3z0">
    <w:name w:val="WW8Num3z0"/>
    <w:rsid w:val="00A00639"/>
    <w:rPr>
      <w:rFonts w:ascii="Wingdings" w:hAnsi="Wingdings" w:cs="OpenSymbol"/>
    </w:rPr>
  </w:style>
  <w:style w:type="character" w:customStyle="1" w:styleId="WW8Num3z1">
    <w:name w:val="WW8Num3z1"/>
    <w:rsid w:val="00A00639"/>
    <w:rPr>
      <w:rFonts w:ascii="Symbol" w:hAnsi="Symbol" w:cs="OpenSymbol"/>
    </w:rPr>
  </w:style>
  <w:style w:type="character" w:customStyle="1" w:styleId="WW8Num4z0">
    <w:name w:val="WW8Num4z0"/>
    <w:rsid w:val="00A00639"/>
  </w:style>
  <w:style w:type="character" w:customStyle="1" w:styleId="WW8Num4z1">
    <w:name w:val="WW8Num4z1"/>
    <w:rsid w:val="00A00639"/>
  </w:style>
  <w:style w:type="character" w:customStyle="1" w:styleId="WW8Num4z2">
    <w:name w:val="WW8Num4z2"/>
    <w:rsid w:val="00A00639"/>
  </w:style>
  <w:style w:type="character" w:customStyle="1" w:styleId="WW8Num4z3">
    <w:name w:val="WW8Num4z3"/>
    <w:rsid w:val="00A00639"/>
  </w:style>
  <w:style w:type="character" w:customStyle="1" w:styleId="WW8Num4z4">
    <w:name w:val="WW8Num4z4"/>
    <w:rsid w:val="00A00639"/>
  </w:style>
  <w:style w:type="character" w:customStyle="1" w:styleId="WW8Num4z5">
    <w:name w:val="WW8Num4z5"/>
    <w:rsid w:val="00A00639"/>
  </w:style>
  <w:style w:type="character" w:customStyle="1" w:styleId="WW8Num4z6">
    <w:name w:val="WW8Num4z6"/>
    <w:rsid w:val="00A00639"/>
  </w:style>
  <w:style w:type="character" w:customStyle="1" w:styleId="WW8Num4z7">
    <w:name w:val="WW8Num4z7"/>
    <w:rsid w:val="00A00639"/>
  </w:style>
  <w:style w:type="character" w:customStyle="1" w:styleId="WW8Num4z8">
    <w:name w:val="WW8Num4z8"/>
    <w:rsid w:val="00A00639"/>
  </w:style>
  <w:style w:type="character" w:styleId="a5">
    <w:name w:val="Hyperlink"/>
    <w:rsid w:val="00A00639"/>
    <w:rPr>
      <w:color w:val="000080"/>
      <w:u w:val="single"/>
    </w:rPr>
  </w:style>
  <w:style w:type="character" w:customStyle="1" w:styleId="a6">
    <w:name w:val="Маркеры списка"/>
    <w:rsid w:val="00A00639"/>
    <w:rPr>
      <w:rFonts w:ascii="OpenSymbol" w:eastAsia="OpenSymbol" w:hAnsi="OpenSymbol" w:cs="OpenSymbol"/>
    </w:rPr>
  </w:style>
  <w:style w:type="paragraph" w:customStyle="1" w:styleId="a0">
    <w:name w:val="Заголовок"/>
    <w:basedOn w:val="a"/>
    <w:next w:val="a1"/>
    <w:rsid w:val="00A00639"/>
    <w:pPr>
      <w:keepNext/>
      <w:spacing w:before="240" w:after="120"/>
    </w:pPr>
    <w:rPr>
      <w:rFonts w:ascii="Liberation Sans" w:eastAsia="Microsoft YaHei" w:hAnsi="Liberation Sans"/>
      <w:sz w:val="28"/>
      <w:szCs w:val="28"/>
    </w:rPr>
  </w:style>
  <w:style w:type="paragraph" w:styleId="a1">
    <w:name w:val="Body Text"/>
    <w:basedOn w:val="a"/>
    <w:rsid w:val="00A00639"/>
    <w:pPr>
      <w:spacing w:after="140" w:line="276" w:lineRule="auto"/>
    </w:pPr>
  </w:style>
  <w:style w:type="paragraph" w:styleId="a7">
    <w:name w:val="List"/>
    <w:basedOn w:val="a1"/>
    <w:rsid w:val="00A00639"/>
  </w:style>
  <w:style w:type="paragraph" w:styleId="a8">
    <w:name w:val="caption"/>
    <w:basedOn w:val="a"/>
    <w:qFormat/>
    <w:rsid w:val="00A00639"/>
    <w:pPr>
      <w:suppressLineNumbers/>
      <w:spacing w:before="120" w:after="120"/>
    </w:pPr>
    <w:rPr>
      <w:i/>
      <w:iCs/>
    </w:rPr>
  </w:style>
  <w:style w:type="paragraph" w:customStyle="1" w:styleId="1">
    <w:name w:val="Указатель1"/>
    <w:basedOn w:val="a"/>
    <w:rsid w:val="00A00639"/>
    <w:pPr>
      <w:suppressLineNumbers/>
    </w:pPr>
  </w:style>
  <w:style w:type="paragraph" w:customStyle="1" w:styleId="a9">
    <w:name w:val="Горизонтальная линия"/>
    <w:basedOn w:val="a"/>
    <w:next w:val="a1"/>
    <w:rsid w:val="00A00639"/>
    <w:pPr>
      <w:suppressLineNumbers/>
      <w:pBdr>
        <w:top w:val="none" w:sz="0" w:space="0" w:color="000000"/>
        <w:left w:val="none" w:sz="0" w:space="0" w:color="000000"/>
        <w:bottom w:val="none" w:sz="0" w:space="0" w:color="000000"/>
        <w:right w:val="none" w:sz="0" w:space="0" w:color="000000"/>
      </w:pBdr>
      <w:spacing w:after="283"/>
    </w:pPr>
    <w:rPr>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Liberation Serif" w:eastAsia="SimSun" w:hAnsi="Liberation Serif" w:cs="Lucida Sans"/>
      <w:kern w:val="2"/>
      <w:sz w:val="24"/>
      <w:szCs w:val="24"/>
      <w:lang w:eastAsia="zh-CN" w:bidi="hi-IN"/>
    </w:rPr>
  </w:style>
  <w:style w:type="paragraph" w:styleId="4">
    <w:name w:val="heading 4"/>
    <w:basedOn w:val="a0"/>
    <w:next w:val="a1"/>
    <w:qFormat/>
    <w:pPr>
      <w:numPr>
        <w:ilvl w:val="3"/>
        <w:numId w:val="1"/>
      </w:numPr>
      <w:spacing w:before="120"/>
      <w:outlineLvl w:val="3"/>
    </w:pPr>
    <w:rPr>
      <w:rFonts w:ascii="Liberation Serif" w:eastAsia="SimSun" w:hAnsi="Liberation Serif"/>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Pr>
      <w:rFonts w:ascii="Wingdings" w:hAnsi="Wingdings" w:cs="OpenSymbol"/>
    </w:rPr>
  </w:style>
  <w:style w:type="character" w:customStyle="1" w:styleId="WW8Num1z1">
    <w:name w:val="WW8Num1z1"/>
    <w:rPr>
      <w:rFonts w:ascii="Symbol" w:hAnsi="Symbol" w:cs="OpenSymbol"/>
    </w:rPr>
  </w:style>
  <w:style w:type="character" w:customStyle="1" w:styleId="WW8Num2z0">
    <w:name w:val="WW8Num2z0"/>
    <w:rPr>
      <w:rFonts w:ascii="Wingdings" w:hAnsi="Wingdings" w:cs="OpenSymbol"/>
    </w:rPr>
  </w:style>
  <w:style w:type="character" w:customStyle="1" w:styleId="WW8Num2z1">
    <w:name w:val="WW8Num2z1"/>
    <w:rPr>
      <w:rFonts w:ascii="Symbol" w:hAnsi="Symbol" w:cs="OpenSymbol"/>
    </w:rPr>
  </w:style>
  <w:style w:type="character" w:customStyle="1" w:styleId="WW8Num3z0">
    <w:name w:val="WW8Num3z0"/>
    <w:rPr>
      <w:rFonts w:ascii="Wingdings" w:hAnsi="Wingdings" w:cs="OpenSymbol"/>
    </w:rPr>
  </w:style>
  <w:style w:type="character" w:customStyle="1" w:styleId="WW8Num3z1">
    <w:name w:val="WW8Num3z1"/>
    <w:rPr>
      <w:rFonts w:ascii="Symbol" w:hAnsi="Symbol" w:cs="Open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styleId="a5">
    <w:name w:val="Hyperlink"/>
    <w:rPr>
      <w:color w:val="000080"/>
      <w:u w:val="single"/>
      <w:lang/>
    </w:rPr>
  </w:style>
  <w:style w:type="character" w:customStyle="1" w:styleId="a6">
    <w:name w:val="Маркеры списка"/>
    <w:rPr>
      <w:rFonts w:ascii="OpenSymbol" w:eastAsia="OpenSymbol" w:hAnsi="OpenSymbol" w:cs="OpenSymbol"/>
    </w:rPr>
  </w:style>
  <w:style w:type="paragraph" w:customStyle="1" w:styleId="a0">
    <w:name w:val="Заголовок"/>
    <w:basedOn w:val="a"/>
    <w:next w:val="a1"/>
    <w:pPr>
      <w:keepNext/>
      <w:spacing w:before="240" w:after="120"/>
    </w:pPr>
    <w:rPr>
      <w:rFonts w:ascii="Liberation Sans" w:eastAsia="Microsoft YaHei" w:hAnsi="Liberation Sans"/>
      <w:sz w:val="28"/>
      <w:szCs w:val="28"/>
    </w:rPr>
  </w:style>
  <w:style w:type="paragraph" w:styleId="a1">
    <w:name w:val="Body Text"/>
    <w:basedOn w:val="a"/>
    <w:pPr>
      <w:spacing w:after="140" w:line="276" w:lineRule="auto"/>
    </w:pPr>
  </w:style>
  <w:style w:type="paragraph" w:styleId="a7">
    <w:name w:val="List"/>
    <w:basedOn w:val="a1"/>
  </w:style>
  <w:style w:type="paragraph" w:styleId="a8">
    <w:name w:val="caption"/>
    <w:basedOn w:val="a"/>
    <w:qFormat/>
    <w:pPr>
      <w:suppressLineNumbers/>
      <w:spacing w:before="120" w:after="120"/>
    </w:pPr>
    <w:rPr>
      <w:i/>
      <w:iCs/>
    </w:rPr>
  </w:style>
  <w:style w:type="paragraph" w:customStyle="1" w:styleId="1">
    <w:name w:val="Указатель1"/>
    <w:basedOn w:val="a"/>
    <w:pPr>
      <w:suppressLineNumbers/>
    </w:pPr>
  </w:style>
  <w:style w:type="paragraph" w:customStyle="1" w:styleId="a9">
    <w:name w:val="Горизонтальная линия"/>
    <w:basedOn w:val="a"/>
    <w:next w:val="a1"/>
    <w:pPr>
      <w:suppressLineNumbers/>
      <w:pBdr>
        <w:top w:val="none" w:sz="0" w:space="0" w:color="000000"/>
        <w:left w:val="none" w:sz="0" w:space="0" w:color="000000"/>
        <w:bottom w:val="none" w:sz="0" w:space="0" w:color="000000"/>
        <w:right w:val="none" w:sz="0" w:space="0" w:color="000000"/>
      </w:pBdr>
      <w:spacing w:after="283"/>
    </w:pPr>
    <w:rPr>
      <w:sz w:val="12"/>
      <w:szCs w:val="1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357</Words>
  <Characters>2039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Школа</cp:lastModifiedBy>
  <cp:revision>2</cp:revision>
  <cp:lastPrinted>2024-02-28T05:41:00Z</cp:lastPrinted>
  <dcterms:created xsi:type="dcterms:W3CDTF">2024-03-05T07:47:00Z</dcterms:created>
  <dcterms:modified xsi:type="dcterms:W3CDTF">2024-03-05T07:47:00Z</dcterms:modified>
</cp:coreProperties>
</file>