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8E2C03" w:rsidRDefault="00F51CEF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4232D4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E2C03" w:rsidRPr="008E2C03">
        <w:rPr>
          <w:rFonts w:ascii="Times New Roman" w:hAnsi="Times New Roman" w:cs="Times New Roman"/>
          <w:sz w:val="28"/>
          <w:szCs w:val="28"/>
        </w:rPr>
        <w:t>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 w:rsidR="002E6C6D">
        <w:rPr>
          <w:rFonts w:ascii="Times New Roman" w:hAnsi="Times New Roman" w:cs="Times New Roman"/>
          <w:sz w:val="28"/>
          <w:szCs w:val="28"/>
        </w:rPr>
        <w:t xml:space="preserve">о учебному </w:t>
      </w:r>
      <w:r w:rsidR="00DA3537">
        <w:rPr>
          <w:rFonts w:ascii="Times New Roman" w:hAnsi="Times New Roman" w:cs="Times New Roman"/>
          <w:sz w:val="28"/>
          <w:szCs w:val="28"/>
        </w:rPr>
        <w:t>предмету «Изобразительное искусство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2E6C6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 w:rsidR="00DA3537">
        <w:rPr>
          <w:rFonts w:ascii="Times New Roman" w:hAnsi="Times New Roman" w:cs="Times New Roman"/>
          <w:sz w:val="28"/>
          <w:szCs w:val="28"/>
        </w:rPr>
        <w:t>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DA3537">
        <w:rPr>
          <w:rFonts w:ascii="Times New Roman" w:hAnsi="Times New Roman" w:cs="Times New Roman"/>
          <w:sz w:val="28"/>
          <w:szCs w:val="28"/>
        </w:rPr>
        <w:t>: в год 34, в неделю 1</w:t>
      </w:r>
      <w:r w:rsidR="00A22674">
        <w:rPr>
          <w:rFonts w:ascii="Times New Roman" w:hAnsi="Times New Roman" w:cs="Times New Roman"/>
          <w:sz w:val="28"/>
          <w:szCs w:val="28"/>
        </w:rPr>
        <w:t>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0C2811" w:rsidP="00F5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A3537" w:rsidRPr="00DA35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309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AA285D" w:rsidRPr="00E46A1A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DF444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DA3537"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  <w:r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</w:t>
      </w:r>
      <w:r w:rsidR="00DA3537"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DA3537" w:rsidRPr="00DA3537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="00DA3537" w:rsidRPr="00DA353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DA3537" w:rsidRPr="00DA3537">
        <w:rPr>
          <w:rFonts w:ascii="Times New Roman" w:hAnsi="Times New Roman" w:cs="Times New Roman"/>
          <w:sz w:val="28"/>
          <w:szCs w:val="28"/>
        </w:rPr>
        <w:t xml:space="preserve">, Л.А </w:t>
      </w:r>
      <w:proofErr w:type="spellStart"/>
      <w:r w:rsidR="00DA3537" w:rsidRPr="00DA3537">
        <w:rPr>
          <w:rFonts w:ascii="Times New Roman" w:hAnsi="Times New Roman" w:cs="Times New Roman"/>
          <w:sz w:val="28"/>
          <w:szCs w:val="28"/>
        </w:rPr>
        <w:t>Неменской</w:t>
      </w:r>
      <w:proofErr w:type="spellEnd"/>
      <w:r w:rsidR="00DA3537" w:rsidRPr="00DA3537">
        <w:rPr>
          <w:rFonts w:ascii="Times New Roman" w:hAnsi="Times New Roman" w:cs="Times New Roman"/>
          <w:sz w:val="28"/>
          <w:szCs w:val="28"/>
        </w:rPr>
        <w:t>, Горяевой Н.А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</w:t>
      </w:r>
      <w:r w:rsidR="00DA3537"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DA3537"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DA3537">
        <w:rPr>
          <w:rFonts w:ascii="Times New Roman" w:hAnsi="Times New Roman" w:cs="Times New Roman"/>
          <w:sz w:val="28"/>
          <w:szCs w:val="28"/>
        </w:rPr>
        <w:t>4 классы.» М: «Просвещение» 2018</w:t>
      </w:r>
      <w:r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F51CEF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51CEF" w:rsidRDefault="00F51CE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CEF" w:rsidRDefault="00F51CE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DA3537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изобразительному искусству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24448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Pr="0024448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2444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44486">
        <w:rPr>
          <w:rFonts w:ascii="Times New Roman" w:hAnsi="Times New Roman" w:cs="Times New Roman"/>
          <w:sz w:val="28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Pr="0024448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44486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Pr="002444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4486">
        <w:rPr>
          <w:rFonts w:ascii="Times New Roman" w:hAnsi="Times New Roman" w:cs="Times New Roman"/>
          <w:sz w:val="28"/>
          <w:szCs w:val="28"/>
        </w:rPr>
        <w:t xml:space="preserve"> 11.12.2020 № 712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64A6" w:rsidRPr="00AE64A6" w:rsidRDefault="00AE64A6" w:rsidP="00DA3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DA3537" w:rsidRPr="00DA3537">
        <w:rPr>
          <w:sz w:val="28"/>
          <w:szCs w:val="28"/>
        </w:rPr>
        <w:t>Изобразительное искусство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Pr="00AE64A6" w:rsidRDefault="007E1B89" w:rsidP="00DA3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</w:t>
      </w:r>
      <w:proofErr w:type="spellStart"/>
      <w:r w:rsidRPr="007E1B89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DA3537" w:rsidRPr="00DA3537">
        <w:rPr>
          <w:sz w:val="28"/>
          <w:szCs w:val="28"/>
        </w:rPr>
        <w:t>Б.М</w:t>
      </w:r>
      <w:proofErr w:type="spellEnd"/>
      <w:r w:rsidR="00DA3537" w:rsidRPr="00DA3537">
        <w:rPr>
          <w:sz w:val="28"/>
          <w:szCs w:val="28"/>
        </w:rPr>
        <w:t xml:space="preserve">. </w:t>
      </w:r>
      <w:proofErr w:type="spellStart"/>
      <w:r w:rsidR="00DA3537" w:rsidRPr="00DA3537">
        <w:rPr>
          <w:sz w:val="28"/>
          <w:szCs w:val="28"/>
        </w:rPr>
        <w:t>Неменского</w:t>
      </w:r>
      <w:proofErr w:type="spellEnd"/>
      <w:r w:rsidR="00DA3537" w:rsidRPr="00DA3537">
        <w:rPr>
          <w:sz w:val="28"/>
          <w:szCs w:val="28"/>
        </w:rPr>
        <w:t xml:space="preserve">, Л.А </w:t>
      </w:r>
      <w:proofErr w:type="spellStart"/>
      <w:r w:rsidR="00DA3537" w:rsidRPr="00DA3537">
        <w:rPr>
          <w:sz w:val="28"/>
          <w:szCs w:val="28"/>
        </w:rPr>
        <w:t>Неменской</w:t>
      </w:r>
      <w:proofErr w:type="spellEnd"/>
      <w:r w:rsidR="00DA3537" w:rsidRPr="00DA3537">
        <w:rPr>
          <w:sz w:val="28"/>
          <w:szCs w:val="28"/>
        </w:rPr>
        <w:t xml:space="preserve">, Горяевой Н.А. </w:t>
      </w:r>
      <w:r>
        <w:rPr>
          <w:sz w:val="28"/>
          <w:szCs w:val="28"/>
        </w:rPr>
        <w:t>«</w:t>
      </w:r>
      <w:r w:rsidR="00DA3537" w:rsidRPr="00DA3537">
        <w:rPr>
          <w:sz w:val="28"/>
          <w:szCs w:val="28"/>
        </w:rPr>
        <w:t>Изобразительное искусство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DA3537" w:rsidRPr="00DA3537">
        <w:rPr>
          <w:sz w:val="28"/>
          <w:szCs w:val="28"/>
        </w:rPr>
        <w:t>Изобразительное искусство</w:t>
      </w:r>
      <w:r w:rsidRPr="007E1B89">
        <w:rPr>
          <w:sz w:val="28"/>
          <w:szCs w:val="28"/>
        </w:rPr>
        <w:t>. Рабочие программы. Предметная линия учебников системы «Школа России». 1-</w:t>
      </w:r>
      <w:r w:rsidR="00F22A0C">
        <w:rPr>
          <w:sz w:val="28"/>
          <w:szCs w:val="28"/>
        </w:rPr>
        <w:t>4 классы.» М: «Просвещение» 2018</w:t>
      </w:r>
      <w:r w:rsidRPr="007E1B89">
        <w:rPr>
          <w:sz w:val="28"/>
          <w:szCs w:val="28"/>
        </w:rPr>
        <w:t>г.).</w:t>
      </w:r>
    </w:p>
    <w:p w:rsidR="008E2C03" w:rsidRDefault="008E2C03" w:rsidP="008E2C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 от 28 сентября 2020г.№28 «Об </w:t>
      </w:r>
      <w:proofErr w:type="spellStart"/>
      <w:r>
        <w:rPr>
          <w:sz w:val="28"/>
          <w:szCs w:val="28"/>
        </w:rPr>
        <w:t>утвеждении</w:t>
      </w:r>
      <w:proofErr w:type="spellEnd"/>
      <w:r>
        <w:rPr>
          <w:sz w:val="28"/>
          <w:szCs w:val="28"/>
        </w:rPr>
        <w:t xml:space="preserve"> санитарных правил СП 2.43648-20 «Санитарно-эпидемиологические требования к организациям воспитания и </w:t>
      </w:r>
      <w:proofErr w:type="spellStart"/>
      <w:r>
        <w:rPr>
          <w:sz w:val="28"/>
          <w:szCs w:val="28"/>
        </w:rPr>
        <w:t>обучении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тдыха</w:t>
      </w:r>
      <w:proofErr w:type="spellEnd"/>
      <w:r>
        <w:rPr>
          <w:sz w:val="28"/>
          <w:szCs w:val="28"/>
        </w:rPr>
        <w:t xml:space="preserve"> и оздоровления детей и молодежи ».</w:t>
      </w:r>
    </w:p>
    <w:p w:rsidR="008E2C03" w:rsidRDefault="008E2C03" w:rsidP="008E2C03">
      <w:pPr>
        <w:pStyle w:val="a3"/>
        <w:jc w:val="both"/>
        <w:rPr>
          <w:sz w:val="28"/>
          <w:szCs w:val="28"/>
        </w:rPr>
      </w:pP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713309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DA3537" w:rsidP="00F22A0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F22A0C">
        <w:rPr>
          <w:rFonts w:ascii="Times New Roman" w:hAnsi="Times New Roman" w:cs="Times New Roman"/>
          <w:sz w:val="28"/>
          <w:szCs w:val="28"/>
        </w:rPr>
        <w:t>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="00F22A0C" w:rsidRPr="00F22A0C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Коротеевой</w:t>
      </w:r>
      <w:proofErr w:type="spell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под редакцией Б.М. </w:t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F22A0C">
        <w:rPr>
          <w:rFonts w:ascii="Times New Roman" w:hAnsi="Times New Roman" w:cs="Times New Roman"/>
          <w:sz w:val="28"/>
          <w:szCs w:val="28"/>
        </w:rPr>
        <w:t>, -М.: Просвещение, 2021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50BC4" w:rsidRPr="00287462" w:rsidRDefault="00150BC4" w:rsidP="00150BC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8E2C03">
        <w:rPr>
          <w:rFonts w:ascii="Times New Roman" w:eastAsia="Times New Roman" w:hAnsi="Times New Roman"/>
          <w:sz w:val="28"/>
          <w:szCs w:val="28"/>
          <w:lang w:eastAsia="ru-RU"/>
        </w:rPr>
        <w:t>зводственному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календарю на 2022-2023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94240D">
        <w:rPr>
          <w:rFonts w:ascii="Times New Roman" w:hAnsi="Times New Roman" w:cs="Times New Roman"/>
          <w:sz w:val="28"/>
          <w:szCs w:val="28"/>
        </w:rPr>
        <w:t xml:space="preserve">программу по литературному чтению в 3 классе  отводится на  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32 часа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(</w:t>
      </w:r>
      <w:r w:rsidRPr="0094240D">
        <w:rPr>
          <w:rFonts w:ascii="Times New Roman" w:hAnsi="Times New Roman" w:cs="Times New Roman"/>
          <w:sz w:val="28"/>
          <w:szCs w:val="28"/>
        </w:rPr>
        <w:t>34 учебные недели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1 час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неделю,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литературному</w:t>
      </w:r>
      <w:proofErr w:type="gramEnd"/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чтению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55377D" w:rsidRDefault="007E1B89" w:rsidP="0055377D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программы учебного предмета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чувство гордости за культуру и искусство Родины, своего народа;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уважительное отношение к культуре и искусству других народов нашей страны и мира в целом;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понимание особой роли культуры и  искусства в жизни общества и каждого отдельного человека;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2A0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2A0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Метапредметные результаты характеризуют уровень </w:t>
      </w:r>
      <w:proofErr w:type="spellStart"/>
      <w:r w:rsidRPr="00F22A0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овладение умением вести диалог, распределять функции и роли в процессе выполнения коллективной творческой работы;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умение рационально строить самостоятельную творческую деятельность, умение организовать место занятий;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знание основных видов и жанров пространственно-визуальных искусств;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 xml:space="preserve">понимание образной природы искусства;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эстетическая оценка явлений природы, событий окружающего мира;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применение художественных умений, знаний и представлений в процессе выполнения художественно-творческих работ;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усвоение названий ведущих художественных музеев России и художественных музеев своего региона;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 w:rsidR="00F22A0C" w:rsidRPr="00F22A0C">
        <w:rPr>
          <w:rFonts w:ascii="Times New Roman" w:hAnsi="Times New Roman" w:cs="Times New Roman"/>
          <w:sz w:val="28"/>
          <w:szCs w:val="28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умение компоновать на плоскости листа и в объеме задуманный художественный образ;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освоение умений применять в художественно—творческой  деятельности основ </w:t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F22A0C" w:rsidRPr="00F22A0C">
        <w:rPr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умение  объяснять значение памятников и архитектурной среды древнего зодчества для современного общества;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7E1B89" w:rsidRPr="007E1B89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умение приводить примеры произведений искусства, выражающих красоту мудрости и богатой духовной жизни, красоту внутреннего  мира человека</w:t>
      </w:r>
      <w:proofErr w:type="gramStart"/>
      <w:r w:rsidR="00F22A0C" w:rsidRPr="00F22A0C">
        <w:rPr>
          <w:rFonts w:ascii="Times New Roman" w:hAnsi="Times New Roman" w:cs="Times New Roman"/>
          <w:sz w:val="28"/>
          <w:szCs w:val="28"/>
        </w:rPr>
        <w:t>.</w:t>
      </w:r>
      <w:r w:rsidR="00C02E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Личностные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формирование у ребёнка ценностных ориентиров в области изобразительного искусства;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воспитание уважительного отношения к творчеству, как своему, так и других людей;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развитие самостоятельности в поиске решения различных изобразительных задач;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 формирование духовных и эстетических потребностей;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овладение различными приёмами и техниками изобразительной деятельности;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 воспитание готовности к отстаиванию своего эстетического идеала;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отработка навыков самостоятельной и групповой работы.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Регулятивные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Проговаривать последовательность действий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работать по предложенному учителем плану.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отличать верно выполненное задание от неверного.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совместно с учителем и другими учениками давать эмоциональную оценку деятельности класса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Основой для формирования этих действий служит соблюдение технологии оценивания образовательных достижений.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Познавательные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Ориентироваться в своей системе знаний: отличать новое от уже известного с помощью учителя.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Перерабатывать полученную информацию: делать выводы в результате совместной работы всего класса.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Сравнивать и группировать произведения изобразительного искусства (по изобразительным средствам, жанрам и т.д.).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Коммуникативные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пользоваться языком изобразительного искусства: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а) донести свою позицию до собеседника;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б) оформить свою мысль в устной и письменной форме (на уровне одного предложения или небольшого текста).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слушать и понимать высказывания собеседников.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выразительно читать и пересказывать содержание текста.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согласованно работать в группе: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а) учиться планировать работу в группе;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б) учиться распределять работу между участниками проекта;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в) понимать общую задачу проекта и точно выполнять свою часть работы;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г) уметь выполнять различные роли в группе (лидера, исполнителя, критика).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терминологией и классификацией изобразительного искусства;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первичное ознакомление учащихся с отечественной и мировой культурой;</w:t>
      </w:r>
    </w:p>
    <w:p w:rsidR="00C02E56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получение детьми представлений о некоторых специфических формах художественной деятельности, базирующихся на ИКТ (цифровая     фотография, работа с компьютером, элементы мультипликации и пр.), а также декоративного искусства и дизайна.</w:t>
      </w: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2268"/>
        <w:gridCol w:w="851"/>
        <w:gridCol w:w="3685"/>
        <w:gridCol w:w="6945"/>
      </w:tblGrid>
      <w:tr w:rsidR="00C02E56" w:rsidRPr="00A17D81" w:rsidTr="00AB05CD">
        <w:tc>
          <w:tcPr>
            <w:tcW w:w="1242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68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1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685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945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 w:rsidR="005F4D7F"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  воспитательного потенциала на уроке</w:t>
            </w:r>
          </w:p>
        </w:tc>
      </w:tr>
      <w:tr w:rsidR="005353CD" w:rsidRPr="00A17D81" w:rsidTr="00AB05CD">
        <w:tc>
          <w:tcPr>
            <w:tcW w:w="1242" w:type="dxa"/>
          </w:tcPr>
          <w:p w:rsidR="005353CD" w:rsidRPr="00A17D81" w:rsidRDefault="005353CD" w:rsidP="005353C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Искусство  в  твоем  доме</w:t>
            </w:r>
          </w:p>
        </w:tc>
        <w:tc>
          <w:tcPr>
            <w:tcW w:w="2268" w:type="dxa"/>
          </w:tcPr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В каждой вещи, в каждом предмете заложен труд художника. </w:t>
            </w:r>
            <w:proofErr w:type="gramStart"/>
            <w:r w:rsidRPr="005353CD">
              <w:rPr>
                <w:rFonts w:ascii="Times New Roman" w:hAnsi="Times New Roman"/>
                <w:sz w:val="24"/>
                <w:szCs w:val="24"/>
              </w:rPr>
              <w:t>Вещи бывают нарядными, праздничными или тихими, уютными;  деловыми или строгими; одни подходят для работы, другие – для отдыха; одни служат детям, другие – взрослым.</w:t>
            </w:r>
            <w:proofErr w:type="gramEnd"/>
            <w:r w:rsidRPr="005353CD">
              <w:rPr>
                <w:rFonts w:ascii="Times New Roman" w:hAnsi="Times New Roman"/>
                <w:sz w:val="24"/>
                <w:szCs w:val="24"/>
              </w:rPr>
              <w:t xml:space="preserve"> Как выглядеть вещи решает художник и тем самым создает пространственный и предметный мир вокруг нас. Каждый человек выступает в роли художника.</w:t>
            </w:r>
          </w:p>
        </w:tc>
        <w:tc>
          <w:tcPr>
            <w:tcW w:w="851" w:type="dxa"/>
          </w:tcPr>
          <w:p w:rsidR="005353CD" w:rsidRPr="00A17D81" w:rsidRDefault="005353CD" w:rsidP="00535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5" w:type="dxa"/>
            <w:shd w:val="clear" w:color="auto" w:fill="auto"/>
          </w:tcPr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Характеризовать 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 </w:t>
            </w: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эстетически оценивать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разные виды предметов ДПИ, материалы из которых они сделаны. 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Понимать и объяснять 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единство материала, формы и внешнего оформления воспринимаемых объектов. </w:t>
            </w: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Выявлять 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5353CD" w:rsidRPr="00903EBF" w:rsidRDefault="005353CD" w:rsidP="005353C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Учиться видеть и объяснять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образное содержание конструкции и декора предмета. </w:t>
            </w:r>
            <w:r w:rsidRPr="0064665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Обретать </w:t>
            </w:r>
            <w:r w:rsidRPr="0064665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опыт творчества и художественно-практические навыки в создании эскизов изучаемых предметов.</w:t>
            </w:r>
          </w:p>
        </w:tc>
        <w:tc>
          <w:tcPr>
            <w:tcW w:w="6945" w:type="dxa"/>
          </w:tcPr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сохранение,поддержкииразвитиеэтническихкультурныхтрадицийинародного творчества.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5353CD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5353CD" w:rsidRPr="00A17D81" w:rsidTr="00AB05CD">
        <w:tc>
          <w:tcPr>
            <w:tcW w:w="1242" w:type="dxa"/>
          </w:tcPr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Искусство  на  улицах  твоего  города</w:t>
            </w:r>
          </w:p>
        </w:tc>
        <w:tc>
          <w:tcPr>
            <w:tcW w:w="2268" w:type="dxa"/>
          </w:tcPr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Деятельность художника на улице города (или села). Знакомство искусством начинается с родного порога: родной улицы, родного города, </w:t>
            </w: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села, без которых не может возникнуть чувства любви к Родине.</w:t>
            </w:r>
          </w:p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Разнообразные проявления деятельности художника и Братьев-Мастеров в создании облика города (села), в украшении улиц, скверов, площадей. Красота старинной архитектуры – памятников культуры. </w:t>
            </w:r>
          </w:p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Атрибуты современной жизни города: витрины, парки, скверы, ажурные ограды, фонари, разнообразный транспорт. Их образное решение. </w:t>
            </w:r>
          </w:p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Единство красоты и целесообразности. Роль выдумки и фантазии в творчестве художника, создающего </w:t>
            </w: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художественный облик города.</w:t>
            </w:r>
          </w:p>
        </w:tc>
        <w:tc>
          <w:tcPr>
            <w:tcW w:w="851" w:type="dxa"/>
          </w:tcPr>
          <w:p w:rsidR="005353CD" w:rsidRPr="00A17D81" w:rsidRDefault="005353CD" w:rsidP="00535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D81">
              <w:rPr>
                <w:rFonts w:ascii="Times New Roman" w:hAnsi="Times New Roman"/>
                <w:sz w:val="24"/>
                <w:szCs w:val="24"/>
              </w:rPr>
              <w:lastRenderedPageBreak/>
              <w:t>7 ч.</w:t>
            </w:r>
          </w:p>
        </w:tc>
        <w:tc>
          <w:tcPr>
            <w:tcW w:w="3685" w:type="dxa"/>
            <w:shd w:val="clear" w:color="auto" w:fill="auto"/>
          </w:tcPr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Учиться видеть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>архитектурный об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раз, образ городской среды.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>эстетические достоинства старинных и совре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менных построек родного города (села).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Раскрывать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>особенности архитектурного образа города.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Понимать,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 xml:space="preserve">что памятники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архитектуры — это достояние народа, кото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рое необходимо беречь.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>в архитектурном образе работу каждого из Братьев-Мастеров.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мое своеобразие и ритмическую упорядоченность архитектурных форм.</w:t>
            </w:r>
          </w:p>
          <w:p w:rsidR="005353CD" w:rsidRPr="00903EBF" w:rsidRDefault="005353CD" w:rsidP="005353C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6466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</w:t>
            </w:r>
            <w:r w:rsidRPr="00646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</w:tc>
        <w:tc>
          <w:tcPr>
            <w:tcW w:w="6945" w:type="dxa"/>
          </w:tcPr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</w:t>
            </w: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овьяиинвалидам;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Экологическоевоспитаниевключает: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5353CD" w:rsidRPr="00646658" w:rsidRDefault="005353CD" w:rsidP="005353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</w:tc>
      </w:tr>
      <w:tr w:rsidR="005353CD" w:rsidRPr="00A17D81" w:rsidTr="00AB05CD">
        <w:tc>
          <w:tcPr>
            <w:tcW w:w="1242" w:type="dxa"/>
          </w:tcPr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Художник и зрелище</w:t>
            </w:r>
          </w:p>
        </w:tc>
        <w:tc>
          <w:tcPr>
            <w:tcW w:w="2268" w:type="dxa"/>
          </w:tcPr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Художник необходим в театре, цирке, на любом празднике. Жанрово-видовое разнообразие зрелищных искусств.</w:t>
            </w:r>
          </w:p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Театрально-зрелищное искусство, его игровая природа. Изобразительное искусство – необходимая составная часть зрелища.</w:t>
            </w:r>
          </w:p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 xml:space="preserve">Деятельность художника в театре </w:t>
            </w: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конструктивной, декоративной, изобразительной.</w:t>
            </w:r>
          </w:p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Создание театрализованного представления или спектакля с использованием творческих работ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353CD" w:rsidRPr="00A17D81" w:rsidRDefault="005353CD" w:rsidP="00535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685" w:type="dxa"/>
          </w:tcPr>
          <w:p w:rsidR="005353CD" w:rsidRPr="007337BE" w:rsidRDefault="005353CD" w:rsidP="005353CD">
            <w:pPr>
              <w:pStyle w:val="a6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Понимать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объяснять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важную роль художника в цирке (создание кра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сочных декораций, костюмов, цирково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го реквизита и т.д.).</w:t>
            </w:r>
          </w:p>
          <w:p w:rsidR="005353CD" w:rsidRPr="007337BE" w:rsidRDefault="005353CD" w:rsidP="005353CD">
            <w:pPr>
              <w:pStyle w:val="a6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Придумывать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создавать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красоч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ные выразительные рисунки или аппли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</w:p>
          <w:p w:rsidR="005353CD" w:rsidRPr="007337BE" w:rsidRDefault="005353CD" w:rsidP="005353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Учиться изображать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яркое, весе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лое, подвижное.</w:t>
            </w:r>
          </w:p>
          <w:p w:rsidR="005353CD" w:rsidRPr="007337BE" w:rsidRDefault="005353CD" w:rsidP="005353CD">
            <w:pPr>
              <w:pStyle w:val="a6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Сравнивать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объекты, элементы театрально-сценического мира,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видеть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в них интересные выразительные реше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 xml:space="preserve">ния, превращения простых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lastRenderedPageBreak/>
              <w:t>материалов в яркие образы.</w:t>
            </w:r>
          </w:p>
          <w:p w:rsidR="005353CD" w:rsidRPr="007337BE" w:rsidRDefault="005353CD" w:rsidP="005353CD">
            <w:pPr>
              <w:pStyle w:val="a6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Понимать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 xml:space="preserve">и </w:t>
            </w: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уметь объяснять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роль театрального художника в создании спектакля.</w:t>
            </w:r>
          </w:p>
          <w:p w:rsidR="005353CD" w:rsidRPr="007337BE" w:rsidRDefault="005353CD" w:rsidP="005353CD">
            <w:pPr>
              <w:pStyle w:val="a6"/>
              <w:rPr>
                <w:rStyle w:val="FontStyle104"/>
                <w:rFonts w:eastAsia="Times New Roman"/>
                <w:sz w:val="24"/>
                <w:szCs w:val="24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Создавать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«Театр на столе» — картонный макет с объемными (лепными, конструктивными) или плоскостными (расписными) декорациями и бумаж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ными фигурками персонажей сказки для игры в спектакль.</w:t>
            </w:r>
          </w:p>
          <w:p w:rsidR="005353CD" w:rsidRPr="00903EBF" w:rsidRDefault="005353CD" w:rsidP="005353C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337BE">
              <w:rPr>
                <w:rStyle w:val="FontStyle143"/>
                <w:rFonts w:eastAsia="Times New Roman"/>
                <w:sz w:val="24"/>
                <w:szCs w:val="24"/>
              </w:rPr>
              <w:t xml:space="preserve">Овладевать 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t>навыками создания объемно-пространственной компози</w:t>
            </w:r>
            <w:r w:rsidRPr="007337BE">
              <w:rPr>
                <w:rStyle w:val="FontStyle104"/>
                <w:rFonts w:eastAsia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6945" w:type="dxa"/>
          </w:tcPr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созданиеравныхдлявсехдетейвозможностейдоступаккультурнымценностям;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5353CD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5353CD" w:rsidRPr="007337BE" w:rsidRDefault="005353CD" w:rsidP="005353CD">
            <w:pPr>
              <w:pStyle w:val="a6"/>
              <w:rPr>
                <w:rStyle w:val="FontStyle143"/>
                <w:rFonts w:eastAsia="Times New Roman"/>
                <w:sz w:val="24"/>
                <w:szCs w:val="24"/>
              </w:rPr>
            </w:pPr>
          </w:p>
        </w:tc>
      </w:tr>
      <w:tr w:rsidR="005353CD" w:rsidRPr="00A17D81" w:rsidTr="00AB05CD">
        <w:tc>
          <w:tcPr>
            <w:tcW w:w="1242" w:type="dxa"/>
          </w:tcPr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Художни</w:t>
            </w:r>
            <w:r w:rsidRPr="005353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 и музей</w:t>
            </w:r>
          </w:p>
        </w:tc>
        <w:tc>
          <w:tcPr>
            <w:tcW w:w="2268" w:type="dxa"/>
          </w:tcPr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Художник работает </w:t>
            </w:r>
            <w:r w:rsidRPr="005353CD">
              <w:rPr>
                <w:rFonts w:ascii="Times New Roman" w:hAnsi="Times New Roman"/>
                <w:sz w:val="24"/>
                <w:szCs w:val="24"/>
              </w:rPr>
              <w:lastRenderedPageBreak/>
              <w:t>в доме, на улице, на празднике, в театре. Это все прикладные виды   работы художника.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</w:t>
            </w:r>
          </w:p>
          <w:p w:rsidR="005353CD" w:rsidRPr="005353CD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Знакомство со станковыми видами и жанрами изобразительного искусства.</w:t>
            </w:r>
          </w:p>
          <w:p w:rsidR="005353CD" w:rsidRPr="00A17D81" w:rsidRDefault="005353CD" w:rsidP="005353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Художественные музеи Москвы, Санкт-Петербурга, других городов. Знакомство с музеями родного города. Участие художника в организации музея.</w:t>
            </w:r>
          </w:p>
        </w:tc>
        <w:tc>
          <w:tcPr>
            <w:tcW w:w="851" w:type="dxa"/>
          </w:tcPr>
          <w:p w:rsidR="005353CD" w:rsidRPr="00A17D81" w:rsidRDefault="005353CD" w:rsidP="00535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85" w:type="dxa"/>
            <w:shd w:val="clear" w:color="auto" w:fill="auto"/>
          </w:tcPr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Понимать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объяснять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роль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художественного музея, учиться понимать, что великие произведения искусства являются национальным достоянием.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называть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ский музей, Эрмитаж, Музей изобрази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тельных искусств имени А. С. Пушкина.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самых разных видах музеев и роли художника в создании их экспозиций.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представление,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что карти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на — это особый мир, созданный ху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дожником, наполненный его мыслями, чувствами и переживаниями.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Рассуждать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творческой работе зрителя, о своем опыте восприятия произведений изобразительного искусства.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Рассматривать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сравнивать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картины-пейзажи, </w:t>
            </w: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рассказывать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настрое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нии и разных состояниях, которые ху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имена крупнейших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русских художников-пейзажистов.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Изображать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пейзаж по представлению с ярко выраженным настроением.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Выражать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настроение в пейзаже цветом.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6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Иметь представление 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изобрази</w:t>
            </w:r>
            <w:r w:rsidRPr="0064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тельном жанре — портрете и нескольких известных картинах-портретах.</w:t>
            </w:r>
          </w:p>
          <w:p w:rsidR="005353CD" w:rsidRPr="00903EBF" w:rsidRDefault="005353CD" w:rsidP="005353C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6466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Рассказывать </w:t>
            </w:r>
            <w:r w:rsidRPr="006466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 изображенном на портрете человеке (какой он, каков его внутренний мир, особенности его характера).</w:t>
            </w:r>
          </w:p>
        </w:tc>
        <w:tc>
          <w:tcPr>
            <w:tcW w:w="6945" w:type="dxa"/>
          </w:tcPr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развитияудетейнравственныхчувств(чести,долга,справедливости,милосердияидружелюбия);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</w:t>
            </w: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шениякразнымвидамтрудовойдеятельности,включаяобучениеивыполнениедомашних обязанностей;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5353CD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5353CD" w:rsidRPr="00B540F8" w:rsidRDefault="005353CD" w:rsidP="005353CD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5353CD" w:rsidRPr="00B540F8" w:rsidRDefault="005353CD" w:rsidP="005353CD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5353CD" w:rsidRPr="00646658" w:rsidRDefault="005353CD" w:rsidP="005353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E0849" w:rsidRDefault="00DE0849" w:rsidP="00144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8E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44F8E" w:rsidRPr="00494653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144F8E" w:rsidRPr="00494653" w:rsidTr="009377F6">
        <w:trPr>
          <w:jc w:val="center"/>
        </w:trPr>
        <w:tc>
          <w:tcPr>
            <w:tcW w:w="620" w:type="dxa"/>
          </w:tcPr>
          <w:p w:rsidR="00144F8E" w:rsidRPr="00494653" w:rsidRDefault="00144F8E" w:rsidP="009377F6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144F8E" w:rsidRPr="00494653" w:rsidRDefault="00144F8E" w:rsidP="009377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144F8E" w:rsidRPr="00494653" w:rsidRDefault="00144F8E" w:rsidP="009377F6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AB05CD" w:rsidRPr="00494653" w:rsidTr="009377F6">
        <w:trPr>
          <w:jc w:val="center"/>
        </w:trPr>
        <w:tc>
          <w:tcPr>
            <w:tcW w:w="620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AB05CD" w:rsidRPr="00A17D81" w:rsidRDefault="00AB05CD" w:rsidP="00AB05C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Искусство  в  твоем  доме</w:t>
            </w:r>
          </w:p>
        </w:tc>
        <w:tc>
          <w:tcPr>
            <w:tcW w:w="1701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AB05CD" w:rsidRPr="00494653" w:rsidTr="009377F6">
        <w:trPr>
          <w:jc w:val="center"/>
        </w:trPr>
        <w:tc>
          <w:tcPr>
            <w:tcW w:w="620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AB05CD" w:rsidRPr="00A17D81" w:rsidRDefault="00AB05CD" w:rsidP="00AB05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Искусство  на  улицах  твоего  города</w:t>
            </w:r>
          </w:p>
        </w:tc>
        <w:tc>
          <w:tcPr>
            <w:tcW w:w="1701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7 ч.</w:t>
            </w:r>
          </w:p>
        </w:tc>
      </w:tr>
      <w:tr w:rsidR="00AB05CD" w:rsidRPr="00494653" w:rsidTr="009377F6">
        <w:trPr>
          <w:jc w:val="center"/>
        </w:trPr>
        <w:tc>
          <w:tcPr>
            <w:tcW w:w="620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AB05CD" w:rsidRPr="00A17D81" w:rsidRDefault="00AB05CD" w:rsidP="00AB05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hAnsi="Times New Roman"/>
                <w:sz w:val="24"/>
                <w:szCs w:val="24"/>
              </w:rPr>
              <w:t>Художник и зрелище</w:t>
            </w:r>
          </w:p>
        </w:tc>
        <w:tc>
          <w:tcPr>
            <w:tcW w:w="1701" w:type="dxa"/>
          </w:tcPr>
          <w:p w:rsidR="00AB05CD" w:rsidRPr="00494653" w:rsidRDefault="00713309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B05CD" w:rsidRPr="00494653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AB05CD" w:rsidRPr="00494653" w:rsidTr="009377F6">
        <w:trPr>
          <w:jc w:val="center"/>
        </w:trPr>
        <w:tc>
          <w:tcPr>
            <w:tcW w:w="620" w:type="dxa"/>
          </w:tcPr>
          <w:p w:rsidR="00AB05CD" w:rsidRPr="00494653" w:rsidRDefault="00AB05CD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AB05CD" w:rsidRPr="00A17D81" w:rsidRDefault="00AB05CD" w:rsidP="00AB05CD">
            <w:pPr>
              <w:rPr>
                <w:rFonts w:ascii="Times New Roman" w:hAnsi="Times New Roman"/>
                <w:sz w:val="24"/>
                <w:szCs w:val="24"/>
              </w:rPr>
            </w:pPr>
            <w:r w:rsidRPr="005353CD">
              <w:rPr>
                <w:rFonts w:ascii="Times New Roman" w:eastAsia="Times New Roman" w:hAnsi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1701" w:type="dxa"/>
          </w:tcPr>
          <w:p w:rsidR="00AB05CD" w:rsidRPr="00494653" w:rsidRDefault="00713309" w:rsidP="00AB05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AB05CD" w:rsidRPr="00494653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</w:tbl>
    <w:p w:rsidR="00AB05CD" w:rsidRDefault="00AB05CD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716F" w:rsidRDefault="00B8716F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77D" w:rsidRDefault="0055377D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77D" w:rsidRDefault="0055377D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lastRenderedPageBreak/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AB05CD" w:rsidRPr="00B9445C" w:rsidTr="00B155F8">
        <w:tc>
          <w:tcPr>
            <w:tcW w:w="3518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AB05CD" w:rsidRPr="00B9445C" w:rsidRDefault="00AB05CD" w:rsidP="00B155F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B05CD" w:rsidRPr="00B9445C" w:rsidRDefault="00AB05CD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AB05CD" w:rsidRPr="00B9445C" w:rsidTr="00B155F8">
        <w:tc>
          <w:tcPr>
            <w:tcW w:w="3518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AB05CD" w:rsidRPr="00B9445C" w:rsidRDefault="00AB05CD" w:rsidP="00AB0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изобразительному искусству</w:t>
            </w:r>
          </w:p>
        </w:tc>
        <w:tc>
          <w:tcPr>
            <w:tcW w:w="992" w:type="dxa"/>
          </w:tcPr>
          <w:p w:rsidR="00AB05CD" w:rsidRPr="00B9445C" w:rsidRDefault="00AB05CD" w:rsidP="00B155F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</w:tcPr>
          <w:p w:rsidR="00244486" w:rsidRPr="00B9445C" w:rsidRDefault="00AB05CD" w:rsidP="00244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 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России» </w:t>
            </w:r>
          </w:p>
          <w:p w:rsidR="00AB05CD" w:rsidRPr="00B9445C" w:rsidRDefault="00AB05CD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B05CD" w:rsidRPr="00B9445C" w:rsidRDefault="00713309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AB05CD"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AB05CD" w:rsidRPr="00B9445C" w:rsidRDefault="00244486" w:rsidP="00244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</w:tr>
    </w:tbl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310473" w:rsidTr="00310473">
        <w:trPr>
          <w:trHeight w:val="3375"/>
        </w:trPr>
        <w:tc>
          <w:tcPr>
            <w:tcW w:w="5871" w:type="dxa"/>
          </w:tcPr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310473" w:rsidRDefault="0031047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73" w:rsidRDefault="00310473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310473" w:rsidRDefault="0031047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5CD" w:rsidRPr="00E46A1A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05CD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96EC1"/>
    <w:multiLevelType w:val="hybridMultilevel"/>
    <w:tmpl w:val="7E0ACAA0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7B"/>
    <w:rsid w:val="0002050F"/>
    <w:rsid w:val="000B24B7"/>
    <w:rsid w:val="000C2811"/>
    <w:rsid w:val="00144F8E"/>
    <w:rsid w:val="00150BC4"/>
    <w:rsid w:val="00244486"/>
    <w:rsid w:val="00287462"/>
    <w:rsid w:val="002E6C6D"/>
    <w:rsid w:val="002F6F39"/>
    <w:rsid w:val="00310473"/>
    <w:rsid w:val="00384C32"/>
    <w:rsid w:val="003D7C56"/>
    <w:rsid w:val="004273DE"/>
    <w:rsid w:val="00463C5F"/>
    <w:rsid w:val="00494653"/>
    <w:rsid w:val="005353CD"/>
    <w:rsid w:val="0055377D"/>
    <w:rsid w:val="005E7B5E"/>
    <w:rsid w:val="005F4D7F"/>
    <w:rsid w:val="00604072"/>
    <w:rsid w:val="0064652B"/>
    <w:rsid w:val="00713309"/>
    <w:rsid w:val="007B487B"/>
    <w:rsid w:val="007E1B89"/>
    <w:rsid w:val="00880483"/>
    <w:rsid w:val="008E2C03"/>
    <w:rsid w:val="00A17D81"/>
    <w:rsid w:val="00A22674"/>
    <w:rsid w:val="00AA285D"/>
    <w:rsid w:val="00AB05CD"/>
    <w:rsid w:val="00AE64A6"/>
    <w:rsid w:val="00B505E0"/>
    <w:rsid w:val="00B8716F"/>
    <w:rsid w:val="00BB7862"/>
    <w:rsid w:val="00C02E56"/>
    <w:rsid w:val="00C642FC"/>
    <w:rsid w:val="00DA3537"/>
    <w:rsid w:val="00DE0849"/>
    <w:rsid w:val="00DF4445"/>
    <w:rsid w:val="00E46A1A"/>
    <w:rsid w:val="00E838E4"/>
    <w:rsid w:val="00EB2271"/>
    <w:rsid w:val="00F22A0C"/>
    <w:rsid w:val="00F4432F"/>
    <w:rsid w:val="00F5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353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53CD"/>
    <w:rPr>
      <w:rFonts w:ascii="Calibri" w:eastAsia="Calibri" w:hAnsi="Calibri" w:cs="Times New Roman"/>
    </w:rPr>
  </w:style>
  <w:style w:type="character" w:customStyle="1" w:styleId="FontStyle143">
    <w:name w:val="Font Style143"/>
    <w:basedOn w:val="a0"/>
    <w:uiPriority w:val="99"/>
    <w:rsid w:val="005353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uiPriority w:val="99"/>
    <w:rsid w:val="005353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21</cp:revision>
  <cp:lastPrinted>2022-09-28T10:02:00Z</cp:lastPrinted>
  <dcterms:created xsi:type="dcterms:W3CDTF">2021-11-10T03:11:00Z</dcterms:created>
  <dcterms:modified xsi:type="dcterms:W3CDTF">2022-09-28T10:02:00Z</dcterms:modified>
</cp:coreProperties>
</file>