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4F3" w:rsidRPr="00F954F3" w:rsidRDefault="00F954F3" w:rsidP="00F954F3">
      <w:pPr>
        <w:spacing w:before="100" w:beforeAutospacing="1" w:after="100" w:afterAutospacing="1" w:line="240" w:lineRule="auto"/>
        <w:outlineLvl w:val="0"/>
        <w:rPr>
          <w:rFonts w:eastAsia="Times New Roman" w:cs="Times New Roman"/>
          <w:b/>
          <w:bCs/>
          <w:kern w:val="36"/>
          <w:sz w:val="32"/>
          <w:szCs w:val="48"/>
          <w:lang w:eastAsia="ru-RU"/>
        </w:rPr>
      </w:pPr>
      <w:r w:rsidRPr="00F954F3">
        <w:rPr>
          <w:rFonts w:eastAsia="Times New Roman" w:cs="Times New Roman"/>
          <w:b/>
          <w:bCs/>
          <w:kern w:val="36"/>
          <w:sz w:val="32"/>
          <w:szCs w:val="48"/>
          <w:lang w:eastAsia="ru-RU"/>
        </w:rPr>
        <w:t xml:space="preserve">Приказ Министерства культуры Российской Федерации от 05.10.2015г. № 2515 </w:t>
      </w:r>
    </w:p>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b/>
          <w:bCs/>
          <w:sz w:val="24"/>
          <w:szCs w:val="24"/>
          <w:lang w:eastAsia="ru-RU"/>
        </w:rPr>
        <w:t xml:space="preserve">Об утверждении показателей, характеризующих общие критерии оценки качества оказания услуг организациями культуры </w:t>
      </w:r>
    </w:p>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В соответст</w:t>
      </w:r>
      <w:bookmarkStart w:id="0" w:name="_GoBack"/>
      <w:bookmarkEnd w:id="0"/>
      <w:r w:rsidRPr="00F954F3">
        <w:rPr>
          <w:rFonts w:eastAsia="Times New Roman" w:cs="Times New Roman"/>
          <w:sz w:val="24"/>
          <w:szCs w:val="24"/>
          <w:lang w:eastAsia="ru-RU"/>
        </w:rPr>
        <w:t xml:space="preserve">вии со статьей 36.1 Закона Российской Федерации от 9 октября 1992 г. №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 46, ст. 2615; Собрание законодательства Российской Федерации, 1999, № 26, ст. 3172; 2001, № 1, ст. 2; № 53, ст. 5030; </w:t>
      </w:r>
      <w:proofErr w:type="gramStart"/>
      <w:r w:rsidRPr="00F954F3">
        <w:rPr>
          <w:rFonts w:eastAsia="Times New Roman" w:cs="Times New Roman"/>
          <w:sz w:val="24"/>
          <w:szCs w:val="24"/>
          <w:lang w:eastAsia="ru-RU"/>
        </w:rPr>
        <w:t>2002, № 52, ст. 5132; 2003, № 52, ст. 5038; 2004, № 35, ст. 3607; 2006, № 1, ст. 10; № 45, ст. 4627; 2007, № 1, ст. 21; 2008, № 30, ст. 3616; 2009, № 52 ст. 6411; 2010, № 19, ст. 2291; 2013, № 17, ст. 2030; № 27, ст. 3477; № 40, ст. 5035; 2014, № 19, ст. 2307; № 30, ст. 4217;</w:t>
      </w:r>
      <w:proofErr w:type="gramEnd"/>
      <w:r w:rsidRPr="00F954F3">
        <w:rPr>
          <w:rFonts w:eastAsia="Times New Roman" w:cs="Times New Roman"/>
          <w:sz w:val="24"/>
          <w:szCs w:val="24"/>
          <w:lang w:eastAsia="ru-RU"/>
        </w:rPr>
        <w:t xml:space="preserve"> № </w:t>
      </w:r>
      <w:proofErr w:type="gramStart"/>
      <w:r w:rsidRPr="00F954F3">
        <w:rPr>
          <w:rFonts w:eastAsia="Times New Roman" w:cs="Times New Roman"/>
          <w:sz w:val="24"/>
          <w:szCs w:val="24"/>
          <w:lang w:eastAsia="ru-RU"/>
        </w:rPr>
        <w:t>30, ст. 4257; № 49, ст. 6928) приказываю:</w:t>
      </w:r>
      <w:proofErr w:type="gramEnd"/>
    </w:p>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1.Утвердить показатели, характеризующие общие критерии оценки качества оказания услуг организациями культуры, согласно приложению.</w:t>
      </w:r>
    </w:p>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2. Признать утратившим силу приказ Министерства культуры Российской Федерации от 25.02.2015 № 288 «Об утверждении показателей, характеризующих общие критерии оценки качества оказания услуг организациями культуры» (зарегистрирован Министерством юстиции Российской Федерации 20 марта 2015 г., регистрационный № 36494).</w:t>
      </w:r>
    </w:p>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 xml:space="preserve">3. </w:t>
      </w:r>
      <w:proofErr w:type="gramStart"/>
      <w:r w:rsidRPr="00F954F3">
        <w:rPr>
          <w:rFonts w:eastAsia="Times New Roman" w:cs="Times New Roman"/>
          <w:sz w:val="24"/>
          <w:szCs w:val="24"/>
          <w:lang w:eastAsia="ru-RU"/>
        </w:rPr>
        <w:t>Контроль за</w:t>
      </w:r>
      <w:proofErr w:type="gramEnd"/>
      <w:r w:rsidRPr="00F954F3">
        <w:rPr>
          <w:rFonts w:eastAsia="Times New Roman" w:cs="Times New Roman"/>
          <w:sz w:val="24"/>
          <w:szCs w:val="24"/>
          <w:lang w:eastAsia="ru-RU"/>
        </w:rPr>
        <w:t xml:space="preserve"> исполнением настоящего приказа возложить на первого заместителя Министра культуры Российской Федерации В.В. </w:t>
      </w:r>
      <w:proofErr w:type="spellStart"/>
      <w:r w:rsidRPr="00F954F3">
        <w:rPr>
          <w:rFonts w:eastAsia="Times New Roman" w:cs="Times New Roman"/>
          <w:sz w:val="24"/>
          <w:szCs w:val="24"/>
          <w:lang w:eastAsia="ru-RU"/>
        </w:rPr>
        <w:t>Аристархова</w:t>
      </w:r>
      <w:proofErr w:type="spellEnd"/>
      <w:r w:rsidRPr="00F954F3">
        <w:rPr>
          <w:rFonts w:eastAsia="Times New Roman" w:cs="Times New Roman"/>
          <w:sz w:val="24"/>
          <w:szCs w:val="24"/>
          <w:lang w:eastAsia="ru-RU"/>
        </w:rPr>
        <w:t>.</w:t>
      </w:r>
    </w:p>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 xml:space="preserve">Министр В.Р. </w:t>
      </w:r>
      <w:proofErr w:type="spellStart"/>
      <w:r w:rsidRPr="00F954F3">
        <w:rPr>
          <w:rFonts w:eastAsia="Times New Roman" w:cs="Times New Roman"/>
          <w:sz w:val="24"/>
          <w:szCs w:val="24"/>
          <w:lang w:eastAsia="ru-RU"/>
        </w:rPr>
        <w:t>Мединский</w:t>
      </w:r>
      <w:proofErr w:type="spellEnd"/>
    </w:p>
    <w:p w:rsidR="00F954F3" w:rsidRPr="00F954F3" w:rsidRDefault="00F954F3" w:rsidP="00F954F3">
      <w:pPr>
        <w:spacing w:after="0" w:line="240" w:lineRule="auto"/>
        <w:rPr>
          <w:rFonts w:eastAsia="Times New Roman" w:cs="Times New Roman"/>
          <w:sz w:val="24"/>
          <w:szCs w:val="24"/>
          <w:lang w:eastAsia="ru-RU"/>
        </w:rPr>
      </w:pPr>
    </w:p>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 xml:space="preserve">Приложение </w:t>
      </w:r>
      <w:r w:rsidRPr="00F954F3">
        <w:rPr>
          <w:rFonts w:eastAsia="Times New Roman" w:cs="Times New Roman"/>
          <w:sz w:val="24"/>
          <w:szCs w:val="24"/>
          <w:lang w:eastAsia="ru-RU"/>
        </w:rPr>
        <w:br/>
        <w:t xml:space="preserve">к приказу Министерства культуры Российской Федерации </w:t>
      </w:r>
      <w:r w:rsidRPr="00F954F3">
        <w:rPr>
          <w:rFonts w:eastAsia="Times New Roman" w:cs="Times New Roman"/>
          <w:sz w:val="24"/>
          <w:szCs w:val="24"/>
          <w:lang w:eastAsia="ru-RU"/>
        </w:rPr>
        <w:br/>
        <w:t>от «</w:t>
      </w:r>
      <w:r w:rsidRPr="00F954F3">
        <w:rPr>
          <w:rFonts w:eastAsia="Times New Roman" w:cs="Times New Roman"/>
          <w:sz w:val="24"/>
          <w:szCs w:val="24"/>
          <w:u w:val="single"/>
          <w:lang w:eastAsia="ru-RU"/>
        </w:rPr>
        <w:t xml:space="preserve"> » </w:t>
      </w:r>
      <w:r w:rsidRPr="00F954F3">
        <w:rPr>
          <w:rFonts w:eastAsia="Times New Roman" w:cs="Times New Roman"/>
          <w:sz w:val="24"/>
          <w:szCs w:val="24"/>
          <w:lang w:eastAsia="ru-RU"/>
        </w:rPr>
        <w:t>2015г. № _____</w:t>
      </w:r>
    </w:p>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b/>
          <w:bCs/>
          <w:sz w:val="24"/>
          <w:szCs w:val="24"/>
          <w:lang w:eastAsia="ru-RU"/>
        </w:rPr>
        <w:t xml:space="preserve">Показатели, характеризующие общие критерии оценки качества </w:t>
      </w:r>
      <w:r w:rsidRPr="00F954F3">
        <w:rPr>
          <w:rFonts w:eastAsia="Times New Roman" w:cs="Times New Roman"/>
          <w:b/>
          <w:bCs/>
          <w:sz w:val="24"/>
          <w:szCs w:val="24"/>
          <w:lang w:eastAsia="ru-RU"/>
        </w:rPr>
        <w:br/>
        <w:t>оказания услуг организациями культуры</w:t>
      </w:r>
    </w:p>
    <w:tbl>
      <w:tblPr>
        <w:tblW w:w="0" w:type="auto"/>
        <w:jc w:val="center"/>
        <w:tblCellSpacing w:w="15" w:type="dxa"/>
        <w:tblCellMar>
          <w:top w:w="15" w:type="dxa"/>
          <w:left w:w="15" w:type="dxa"/>
          <w:bottom w:w="15" w:type="dxa"/>
          <w:right w:w="15" w:type="dxa"/>
        </w:tblCellMar>
        <w:tblLook w:val="04A0"/>
      </w:tblPr>
      <w:tblGrid>
        <w:gridCol w:w="444"/>
        <w:gridCol w:w="4747"/>
        <w:gridCol w:w="1643"/>
        <w:gridCol w:w="1784"/>
        <w:gridCol w:w="1938"/>
      </w:tblGrid>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b/>
                <w:bCs/>
                <w:sz w:val="24"/>
                <w:szCs w:val="24"/>
                <w:lang w:eastAsia="ru-RU"/>
              </w:rPr>
              <w:t xml:space="preserve">№ </w:t>
            </w:r>
            <w:proofErr w:type="gramStart"/>
            <w:r w:rsidRPr="00F954F3">
              <w:rPr>
                <w:rFonts w:eastAsia="Times New Roman" w:cs="Times New Roman"/>
                <w:b/>
                <w:bCs/>
                <w:sz w:val="24"/>
                <w:szCs w:val="24"/>
                <w:lang w:eastAsia="ru-RU"/>
              </w:rPr>
              <w:t>п</w:t>
            </w:r>
            <w:proofErr w:type="gramEnd"/>
            <w:r w:rsidRPr="00F954F3">
              <w:rPr>
                <w:rFonts w:eastAsia="Times New Roman" w:cs="Times New Roman"/>
                <w:b/>
                <w:bCs/>
                <w:sz w:val="24"/>
                <w:szCs w:val="24"/>
                <w:lang w:eastAsia="ru-RU"/>
              </w:rPr>
              <w:t>/п</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b/>
                <w:bCs/>
                <w:sz w:val="24"/>
                <w:szCs w:val="24"/>
                <w:lang w:eastAsia="ru-RU"/>
              </w:rPr>
              <w:t>Показатель</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b/>
                <w:bCs/>
                <w:sz w:val="24"/>
                <w:szCs w:val="24"/>
                <w:lang w:eastAsia="ru-RU"/>
              </w:rPr>
              <w:t>Единица измерения (значение показателя)</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b/>
                <w:bCs/>
                <w:sz w:val="24"/>
                <w:szCs w:val="24"/>
                <w:lang w:eastAsia="ru-RU"/>
              </w:rPr>
              <w:t>Группа организаций</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b/>
                <w:bCs/>
                <w:sz w:val="24"/>
                <w:szCs w:val="24"/>
                <w:lang w:eastAsia="ru-RU"/>
              </w:rPr>
              <w:t>Способ оценки</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b/>
                <w:bCs/>
                <w:sz w:val="24"/>
                <w:szCs w:val="24"/>
                <w:lang w:eastAsia="ru-RU"/>
              </w:rPr>
              <w:t>1</w:t>
            </w:r>
          </w:p>
        </w:tc>
        <w:tc>
          <w:tcPr>
            <w:tcW w:w="0" w:type="auto"/>
            <w:gridSpan w:val="4"/>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b/>
                <w:bCs/>
                <w:sz w:val="24"/>
                <w:szCs w:val="24"/>
                <w:lang w:eastAsia="ru-RU"/>
              </w:rPr>
              <w:t>Открытость и доступность информации об организации культуры (от 0 до 31)</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1.1</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5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все организации 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наличие информации на официальном сайте организации культуры</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1.2</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Информация о выполнении государственного/ муниципального задания, отчет о результатах деятельности организации 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7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все организации 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наличие информации на официальном сайте организации культуры</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lastRenderedPageBreak/>
              <w:t>1.3</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Информирование о предстоящих выставках и экспозициях организации культуры. Виртуальные экскурсии по организации 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5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музеи</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1.4</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Информирование о предстоящих представлениях и постановках</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7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театры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1.5</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Информирование о новых мероприятиях</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7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культурно-досуговые организации</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b/>
                <w:bCs/>
                <w:sz w:val="24"/>
                <w:szCs w:val="24"/>
                <w:lang w:eastAsia="ru-RU"/>
              </w:rPr>
              <w:t>2</w:t>
            </w:r>
          </w:p>
        </w:tc>
        <w:tc>
          <w:tcPr>
            <w:tcW w:w="0" w:type="auto"/>
            <w:gridSpan w:val="4"/>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b/>
                <w:bCs/>
                <w:sz w:val="24"/>
                <w:szCs w:val="24"/>
                <w:lang w:eastAsia="ru-RU"/>
              </w:rPr>
              <w:t>Комфортность условий предоставления услуг и доступность их получения (от 0 до 47)</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2.1</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Уровень комфортности пребывания в организации культуры (места для сидения, гардероб, чистота помещений)</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5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все организации 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2.2</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5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все организации 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наличие информации на официальном сайте организации культуры</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2.3</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 xml:space="preserve">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 Наличие независимой системы учета посещений сайта. Раскрытие </w:t>
            </w:r>
            <w:proofErr w:type="gramStart"/>
            <w:r w:rsidRPr="00F954F3">
              <w:rPr>
                <w:rFonts w:eastAsia="Times New Roman" w:cs="Times New Roman"/>
                <w:sz w:val="24"/>
                <w:szCs w:val="24"/>
                <w:lang w:eastAsia="ru-RU"/>
              </w:rPr>
              <w:t>информации независимой системы учета посещений сайта</w:t>
            </w:r>
            <w:proofErr w:type="gramEnd"/>
            <w:r w:rsidRPr="00F954F3">
              <w:rPr>
                <w:rFonts w:eastAsia="Times New Roman" w:cs="Times New Roman"/>
                <w:sz w:val="24"/>
                <w:szCs w:val="24"/>
                <w:lang w:eastAsia="ru-RU"/>
              </w:rPr>
              <w:t>.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5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все организации 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наличие информации на официальном сайте организации культуры</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2.4</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8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музеи, театры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2.5</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9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библиотеки</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2.6</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Транспортная и пешая доступность организации 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5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все организации 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2.7</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 xml:space="preserve">Наличие электронных билетов/ наличие </w:t>
            </w:r>
            <w:r w:rsidRPr="00F954F3">
              <w:rPr>
                <w:rFonts w:eastAsia="Times New Roman" w:cs="Times New Roman"/>
                <w:sz w:val="24"/>
                <w:szCs w:val="24"/>
                <w:lang w:eastAsia="ru-RU"/>
              </w:rPr>
              <w:lastRenderedPageBreak/>
              <w:t>электронного бронирования билетов/ наличие электронной очереди/ наличие электронных каталогов/ наличие электронных документов, доступных для получения</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lastRenderedPageBreak/>
              <w:t xml:space="preserve">от 0 до 5 </w:t>
            </w:r>
            <w:r w:rsidRPr="00F954F3">
              <w:rPr>
                <w:rFonts w:eastAsia="Times New Roman" w:cs="Times New Roman"/>
                <w:sz w:val="24"/>
                <w:szCs w:val="24"/>
                <w:lang w:eastAsia="ru-RU"/>
              </w:rPr>
              <w:lastRenderedPageBreak/>
              <w:t>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lastRenderedPageBreak/>
              <w:t xml:space="preserve">все организации </w:t>
            </w:r>
            <w:r w:rsidRPr="00F954F3">
              <w:rPr>
                <w:rFonts w:eastAsia="Times New Roman" w:cs="Times New Roman"/>
                <w:sz w:val="24"/>
                <w:szCs w:val="24"/>
                <w:lang w:eastAsia="ru-RU"/>
              </w:rPr>
              <w:lastRenderedPageBreak/>
              <w:t>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lastRenderedPageBreak/>
              <w:t xml:space="preserve">наличие </w:t>
            </w:r>
            <w:r w:rsidRPr="00F954F3">
              <w:rPr>
                <w:rFonts w:eastAsia="Times New Roman" w:cs="Times New Roman"/>
                <w:sz w:val="24"/>
                <w:szCs w:val="24"/>
                <w:lang w:eastAsia="ru-RU"/>
              </w:rPr>
              <w:lastRenderedPageBreak/>
              <w:t>информации на официальном сайте организации культуры</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lastRenderedPageBreak/>
              <w:t>2.8</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Удобство пользования электронными сервисами, предоставляемыми учреждением посетителям (в том числе и с помощью мобильных устройств)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5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все организации 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2.9</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Качество и содержание полиграфических материалов организаций культуры (программ, буклетов, флаеров)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9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театры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b/>
                <w:bCs/>
                <w:sz w:val="24"/>
                <w:szCs w:val="24"/>
                <w:lang w:eastAsia="ru-RU"/>
              </w:rPr>
              <w:t>3</w:t>
            </w:r>
          </w:p>
        </w:tc>
        <w:tc>
          <w:tcPr>
            <w:tcW w:w="0" w:type="auto"/>
            <w:gridSpan w:val="4"/>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b/>
                <w:bCs/>
                <w:sz w:val="24"/>
                <w:szCs w:val="24"/>
                <w:lang w:eastAsia="ru-RU"/>
              </w:rPr>
              <w:t>Время ожидания предоставления услуги (от 0 до 21)</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3.1</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Удобство графика работы организации 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7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все организации 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3.2</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Удобство процедуры покупки (бронирования) билетов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7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театры, музеи</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3.3</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Простота/удобство электронного каталога</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7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библиотеки</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b/>
                <w:bCs/>
                <w:sz w:val="24"/>
                <w:szCs w:val="24"/>
                <w:lang w:eastAsia="ru-RU"/>
              </w:rPr>
              <w:t>4</w:t>
            </w:r>
          </w:p>
        </w:tc>
        <w:tc>
          <w:tcPr>
            <w:tcW w:w="0" w:type="auto"/>
            <w:gridSpan w:val="4"/>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b/>
                <w:bCs/>
                <w:sz w:val="24"/>
                <w:szCs w:val="24"/>
                <w:lang w:eastAsia="ru-RU"/>
              </w:rPr>
              <w:t>Доброжелательность, вежливость, компетентность работников организации культуры (от 0 до 14)</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4.1</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Доброжелательность, вежливость и компетентность персонала организации 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7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все организации 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4.2</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Фамилии, имена, отчества, должности руководящего состава организации культуры, её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7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все организации 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наличие информации на официальном сайте организации культуры</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b/>
                <w:bCs/>
                <w:sz w:val="24"/>
                <w:szCs w:val="24"/>
                <w:lang w:eastAsia="ru-RU"/>
              </w:rPr>
              <w:t>5</w:t>
            </w:r>
          </w:p>
        </w:tc>
        <w:tc>
          <w:tcPr>
            <w:tcW w:w="0" w:type="auto"/>
            <w:gridSpan w:val="4"/>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b/>
                <w:bCs/>
                <w:sz w:val="24"/>
                <w:szCs w:val="24"/>
                <w:lang w:eastAsia="ru-RU"/>
              </w:rPr>
              <w:t>Удовлетворенность качеством оказания услуг (от 0 до 25)</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5.1</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Уровень удовлетворенности качеством оказания услуг организации культуры в целом</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5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все организации культуры, за исключением театров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5.2</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6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все организации 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наличие информации на официальном сайте организации культуры</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5.3</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Качество проведения экскурсий</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 xml:space="preserve">от 0 до 4 </w:t>
            </w:r>
            <w:r w:rsidRPr="00F954F3">
              <w:rPr>
                <w:rFonts w:eastAsia="Times New Roman" w:cs="Times New Roman"/>
                <w:sz w:val="24"/>
                <w:szCs w:val="24"/>
                <w:lang w:eastAsia="ru-RU"/>
              </w:rPr>
              <w:lastRenderedPageBreak/>
              <w:t>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lastRenderedPageBreak/>
              <w:t>музеи</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 xml:space="preserve">изучение мнения </w:t>
            </w:r>
            <w:r w:rsidRPr="00F954F3">
              <w:rPr>
                <w:rFonts w:eastAsia="Times New Roman" w:cs="Times New Roman"/>
                <w:sz w:val="24"/>
                <w:szCs w:val="24"/>
                <w:lang w:eastAsia="ru-RU"/>
              </w:rPr>
              <w:lastRenderedPageBreak/>
              <w:t>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lastRenderedPageBreak/>
              <w:t>5.4</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Разнообразие экспозиций организации культуры</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2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музеи</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5.5</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Наличие информации о новых изданиях</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10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библиотеки</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5.6</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Разнообразие творческих групп, кружков по интересам</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9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культурно-досуговые организации</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r w:rsidR="00F954F3" w:rsidRPr="00F954F3" w:rsidTr="00F954F3">
        <w:trPr>
          <w:tblCellSpacing w:w="15" w:type="dxa"/>
          <w:jc w:val="center"/>
        </w:trPr>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5.7</w:t>
            </w:r>
          </w:p>
        </w:tc>
        <w:tc>
          <w:tcPr>
            <w:tcW w:w="0" w:type="auto"/>
            <w:vAlign w:val="center"/>
            <w:hideMark/>
          </w:tcPr>
          <w:p w:rsidR="00F954F3" w:rsidRPr="00F954F3" w:rsidRDefault="00F954F3" w:rsidP="00F954F3">
            <w:pPr>
              <w:spacing w:before="100" w:beforeAutospacing="1" w:after="100" w:afterAutospacing="1" w:line="240" w:lineRule="auto"/>
              <w:rPr>
                <w:rFonts w:eastAsia="Times New Roman" w:cs="Times New Roman"/>
                <w:sz w:val="24"/>
                <w:szCs w:val="24"/>
                <w:lang w:eastAsia="ru-RU"/>
              </w:rPr>
            </w:pPr>
            <w:r w:rsidRPr="00F954F3">
              <w:rPr>
                <w:rFonts w:eastAsia="Times New Roman" w:cs="Times New Roman"/>
                <w:sz w:val="24"/>
                <w:szCs w:val="24"/>
                <w:lang w:eastAsia="ru-RU"/>
              </w:rPr>
              <w:t>Качество проведения культурно-массовых мероприятий</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от 0 до 10 баллов</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культурно-досуговые организации</w:t>
            </w:r>
          </w:p>
        </w:tc>
        <w:tc>
          <w:tcPr>
            <w:tcW w:w="0" w:type="auto"/>
            <w:vAlign w:val="center"/>
            <w:hideMark/>
          </w:tcPr>
          <w:p w:rsidR="00F954F3" w:rsidRPr="00F954F3" w:rsidRDefault="00F954F3" w:rsidP="00F954F3">
            <w:pPr>
              <w:spacing w:before="100" w:beforeAutospacing="1" w:after="100" w:afterAutospacing="1" w:line="240" w:lineRule="auto"/>
              <w:jc w:val="center"/>
              <w:rPr>
                <w:rFonts w:eastAsia="Times New Roman" w:cs="Times New Roman"/>
                <w:sz w:val="24"/>
                <w:szCs w:val="24"/>
                <w:lang w:eastAsia="ru-RU"/>
              </w:rPr>
            </w:pPr>
            <w:r w:rsidRPr="00F954F3">
              <w:rPr>
                <w:rFonts w:eastAsia="Times New Roman" w:cs="Times New Roman"/>
                <w:sz w:val="24"/>
                <w:szCs w:val="24"/>
                <w:lang w:eastAsia="ru-RU"/>
              </w:rPr>
              <w:t>изучение мнения получателей услуг</w:t>
            </w:r>
          </w:p>
        </w:tc>
      </w:tr>
    </w:tbl>
    <w:p w:rsidR="005C0AB5" w:rsidRDefault="005C0AB5"/>
    <w:sectPr w:rsidR="005C0AB5" w:rsidSect="00E510E8">
      <w:pgSz w:w="11906" w:h="16838"/>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F954F3"/>
    <w:rsid w:val="005C0AB5"/>
    <w:rsid w:val="00894000"/>
    <w:rsid w:val="00A813C6"/>
    <w:rsid w:val="00E510E8"/>
    <w:rsid w:val="00F954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000"/>
  </w:style>
  <w:style w:type="paragraph" w:styleId="1">
    <w:name w:val="heading 1"/>
    <w:basedOn w:val="a"/>
    <w:link w:val="10"/>
    <w:uiPriority w:val="9"/>
    <w:qFormat/>
    <w:rsid w:val="00F954F3"/>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54F3"/>
    <w:rPr>
      <w:rFonts w:eastAsia="Times New Roman" w:cs="Times New Roman"/>
      <w:b/>
      <w:bCs/>
      <w:kern w:val="36"/>
      <w:sz w:val="48"/>
      <w:szCs w:val="48"/>
      <w:lang w:eastAsia="ru-RU"/>
    </w:rPr>
  </w:style>
  <w:style w:type="paragraph" w:styleId="a3">
    <w:name w:val="Normal (Web)"/>
    <w:basedOn w:val="a"/>
    <w:uiPriority w:val="99"/>
    <w:unhideWhenUsed/>
    <w:rsid w:val="00F954F3"/>
    <w:pPr>
      <w:spacing w:before="100" w:beforeAutospacing="1" w:after="100" w:afterAutospacing="1" w:line="240" w:lineRule="auto"/>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54F3"/>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54F3"/>
    <w:rPr>
      <w:rFonts w:eastAsia="Times New Roman" w:cs="Times New Roman"/>
      <w:b/>
      <w:bCs/>
      <w:kern w:val="36"/>
      <w:sz w:val="48"/>
      <w:szCs w:val="48"/>
      <w:lang w:eastAsia="ru-RU"/>
    </w:rPr>
  </w:style>
  <w:style w:type="paragraph" w:styleId="a3">
    <w:name w:val="Normal (Web)"/>
    <w:basedOn w:val="a"/>
    <w:uiPriority w:val="99"/>
    <w:unhideWhenUsed/>
    <w:rsid w:val="00F954F3"/>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4690137">
      <w:bodyDiv w:val="1"/>
      <w:marLeft w:val="0"/>
      <w:marRight w:val="0"/>
      <w:marTop w:val="0"/>
      <w:marBottom w:val="0"/>
      <w:divBdr>
        <w:top w:val="none" w:sz="0" w:space="0" w:color="auto"/>
        <w:left w:val="none" w:sz="0" w:space="0" w:color="auto"/>
        <w:bottom w:val="none" w:sz="0" w:space="0" w:color="auto"/>
        <w:right w:val="none" w:sz="0" w:space="0" w:color="auto"/>
      </w:divBdr>
      <w:divsChild>
        <w:div w:id="1496068676">
          <w:marLeft w:val="0"/>
          <w:marRight w:val="0"/>
          <w:marTop w:val="0"/>
          <w:marBottom w:val="0"/>
          <w:divBdr>
            <w:top w:val="none" w:sz="0" w:space="0" w:color="auto"/>
            <w:left w:val="none" w:sz="0" w:space="0" w:color="auto"/>
            <w:bottom w:val="none" w:sz="0" w:space="0" w:color="auto"/>
            <w:right w:val="none" w:sz="0" w:space="0" w:color="auto"/>
          </w:divBdr>
          <w:divsChild>
            <w:div w:id="10315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1180</Words>
  <Characters>6728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РК</Company>
  <LinksUpToDate>false</LinksUpToDate>
  <CharactersWithSpaces>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A. Larina</dc:creator>
  <cp:keywords/>
  <dc:description/>
  <cp:lastModifiedBy>Администратор</cp:lastModifiedBy>
  <cp:revision>3</cp:revision>
  <cp:lastPrinted>2016-05-12T09:05:00Z</cp:lastPrinted>
  <dcterms:created xsi:type="dcterms:W3CDTF">2016-03-15T13:34:00Z</dcterms:created>
  <dcterms:modified xsi:type="dcterms:W3CDTF">2016-05-12T14:55:00Z</dcterms:modified>
</cp:coreProperties>
</file>