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0C" w:rsidRPr="00FE0B25" w:rsidRDefault="002E46CD" w:rsidP="002E46C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0B25">
        <w:rPr>
          <w:rFonts w:ascii="Times New Roman" w:hAnsi="Times New Roman" w:cs="Times New Roman"/>
          <w:b/>
          <w:color w:val="000000"/>
          <w:sz w:val="28"/>
          <w:szCs w:val="28"/>
        </w:rPr>
        <w:t>IV. Финансовый результат</w:t>
      </w:r>
    </w:p>
    <w:p w:rsidR="002E46CD" w:rsidRPr="00FE0B25" w:rsidRDefault="002E46CD">
      <w:pPr>
        <w:rPr>
          <w:color w:val="000000"/>
        </w:rPr>
      </w:pPr>
    </w:p>
    <w:tbl>
      <w:tblPr>
        <w:tblW w:w="22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3871"/>
        <w:gridCol w:w="1134"/>
        <w:gridCol w:w="1985"/>
        <w:gridCol w:w="1150"/>
        <w:gridCol w:w="2126"/>
        <w:gridCol w:w="3244"/>
        <w:gridCol w:w="3544"/>
        <w:gridCol w:w="3685"/>
      </w:tblGrid>
      <w:tr w:rsidR="007938E6" w:rsidRPr="00FE0B25" w:rsidTr="001B058A">
        <w:trPr>
          <w:cantSplit/>
          <w:trHeight w:val="375"/>
          <w:tblHeader/>
        </w:trPr>
        <w:tc>
          <w:tcPr>
            <w:tcW w:w="1369" w:type="dxa"/>
            <w:vMerge w:val="restart"/>
            <w:shd w:val="clear" w:color="auto" w:fill="auto"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пункта, подпункта</w:t>
            </w:r>
          </w:p>
        </w:tc>
        <w:tc>
          <w:tcPr>
            <w:tcW w:w="3871" w:type="dxa"/>
            <w:vMerge w:val="restart"/>
            <w:shd w:val="clear" w:color="auto" w:fill="auto"/>
            <w:hideMark/>
          </w:tcPr>
          <w:p w:rsidR="007938E6" w:rsidRPr="00FE0B25" w:rsidRDefault="007938E6" w:rsidP="00BD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и наименование счета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Планасчетов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бюджетного учета, содер</w:t>
            </w:r>
            <w:r w:rsidR="00BD4F8C"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жание факта хозяйственной жизни</w:t>
            </w:r>
          </w:p>
        </w:tc>
        <w:tc>
          <w:tcPr>
            <w:tcW w:w="6395" w:type="dxa"/>
            <w:gridSpan w:val="4"/>
            <w:shd w:val="clear" w:color="auto" w:fill="auto"/>
            <w:noWrap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Бухгалтерские записи</w:t>
            </w:r>
            <w:r w:rsidR="00FF17BA"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 с</w:t>
            </w: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четах Плана</w:t>
            </w:r>
          </w:p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счетов бюджетного учета</w:t>
            </w:r>
          </w:p>
        </w:tc>
        <w:tc>
          <w:tcPr>
            <w:tcW w:w="3244" w:type="dxa"/>
            <w:vMerge w:val="restart"/>
            <w:shd w:val="clear" w:color="auto" w:fill="auto"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учетный документ</w:t>
            </w:r>
          </w:p>
        </w:tc>
        <w:tc>
          <w:tcPr>
            <w:tcW w:w="7229" w:type="dxa"/>
            <w:gridSpan w:val="2"/>
            <w:vMerge w:val="restart"/>
            <w:shd w:val="clear" w:color="auto" w:fill="auto"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Признаки аналитического учета счета Плана</w:t>
            </w:r>
          </w:p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счетов бюджетного учета</w:t>
            </w:r>
          </w:p>
        </w:tc>
      </w:tr>
      <w:tr w:rsidR="007938E6" w:rsidRPr="00FE0B25" w:rsidTr="001B058A">
        <w:trPr>
          <w:cantSplit/>
          <w:trHeight w:val="375"/>
          <w:tblHeader/>
        </w:trPr>
        <w:tc>
          <w:tcPr>
            <w:tcW w:w="1369" w:type="dxa"/>
            <w:vMerge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Merge/>
            <w:hideMark/>
          </w:tcPr>
          <w:p w:rsidR="007938E6" w:rsidRPr="00FE0B25" w:rsidRDefault="007938E6" w:rsidP="00793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  <w:noWrap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276" w:type="dxa"/>
            <w:gridSpan w:val="2"/>
            <w:shd w:val="clear" w:color="auto" w:fill="auto"/>
            <w:noWrap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3244" w:type="dxa"/>
            <w:vMerge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2"/>
            <w:vMerge/>
            <w:hideMark/>
          </w:tcPr>
          <w:p w:rsidR="007938E6" w:rsidRPr="00FE0B25" w:rsidRDefault="007938E6" w:rsidP="0079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60312" w:rsidRPr="00FE0B25" w:rsidTr="00BD4F8C">
        <w:trPr>
          <w:cantSplit/>
          <w:trHeight w:val="435"/>
          <w:tblHeader/>
        </w:trPr>
        <w:tc>
          <w:tcPr>
            <w:tcW w:w="1369" w:type="dxa"/>
            <w:vMerge/>
            <w:hideMark/>
          </w:tcPr>
          <w:p w:rsidR="00060312" w:rsidRPr="00FE0B25" w:rsidRDefault="00060312" w:rsidP="0006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Merge/>
            <w:hideMark/>
          </w:tcPr>
          <w:p w:rsidR="00060312" w:rsidRPr="00FE0B25" w:rsidRDefault="00060312" w:rsidP="00060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60312" w:rsidRPr="00FE0B25" w:rsidRDefault="00060312" w:rsidP="0006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shd w:val="clear" w:color="auto" w:fill="auto"/>
            <w:hideMark/>
          </w:tcPr>
          <w:p w:rsidR="00060312" w:rsidRPr="00FE0B25" w:rsidRDefault="00060312" w:rsidP="0006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060312" w:rsidRPr="00FE0B25" w:rsidRDefault="00060312" w:rsidP="0006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КБК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26" w:type="dxa"/>
            <w:hideMark/>
          </w:tcPr>
          <w:p w:rsidR="00060312" w:rsidRPr="00FE0B25" w:rsidRDefault="00060312" w:rsidP="0006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3244" w:type="dxa"/>
            <w:vMerge/>
            <w:hideMark/>
          </w:tcPr>
          <w:p w:rsidR="00060312" w:rsidRPr="00FE0B25" w:rsidRDefault="00060312" w:rsidP="0006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060312" w:rsidRPr="00FE0B25" w:rsidRDefault="00060312" w:rsidP="0006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дебету счета</w:t>
            </w:r>
          </w:p>
        </w:tc>
        <w:tc>
          <w:tcPr>
            <w:tcW w:w="3685" w:type="dxa"/>
            <w:shd w:val="clear" w:color="auto" w:fill="auto"/>
            <w:hideMark/>
          </w:tcPr>
          <w:p w:rsidR="00060312" w:rsidRPr="00FE0B25" w:rsidRDefault="00060312" w:rsidP="00060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кредиту счета</w:t>
            </w:r>
          </w:p>
        </w:tc>
      </w:tr>
      <w:tr w:rsidR="002E46CD" w:rsidRPr="00FE0B25" w:rsidTr="001B058A">
        <w:trPr>
          <w:cantSplit/>
          <w:trHeight w:val="3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0 400 00 000 «Финансовый результат»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46CD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0 401 00 000 «Финансовый результат экономического субъекта»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46CD" w:rsidRPr="00FE0B25" w:rsidTr="001B058A">
        <w:trPr>
          <w:cantSplit/>
          <w:trHeight w:val="4650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0 401 10 000 «Доходы текущего финансового года»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объектов учета, составляющих финансовый результат (в том числе на соответствующих разрядах номера счета согласно бюджетной классификации);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ц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елях обособления расчетов по консол</w:t>
            </w:r>
            <w:r w:rsidR="007C5B8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идируемым расчетам: контрагенты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 соответствующим показателям, идентифицирующим контрагента расчетов, необходимых для раскрытия в бухгалтерской (финансовой) отчетности взаимосвязанных показателей, подлежащих исключению при формировании консолидированной бухгалтерской (финансовой)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отчетности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;п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исправлении ошибок прошлых лет: </w:t>
            </w:r>
            <w:r w:rsidR="007C5B8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причины образования ошибки прошлых лет</w:t>
            </w:r>
          </w:p>
        </w:tc>
      </w:tr>
      <w:tr w:rsidR="002E46CD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начисленного дохода (увеличения стоимости объектов активов, </w:t>
            </w:r>
            <w:r w:rsidR="008A7ED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уменьшения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обязательств)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E46CD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4.1.1.1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 нефинансовых активов, в том числе в части сумм списанной амортизации и накопленного убытка от обесценения, изменения стоимости </w:t>
            </w:r>
            <w:r w:rsidR="00785A5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вследствие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положительной переоценки, торговой наценки (способ «Красное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  <w:proofErr w:type="gramStart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ругих операций, увеличивающих доходы учреждения</w:t>
            </w:r>
            <w:r w:rsidR="005A5E8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7A4F76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 3</w:t>
            </w:r>
            <w:r w:rsidR="002E46CD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XХ</w:t>
            </w:r>
          </w:p>
        </w:tc>
        <w:tc>
          <w:tcPr>
            <w:tcW w:w="1150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1XX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D3B0E" w:rsidRPr="00FE0B25" w:rsidTr="001B058A">
        <w:trPr>
          <w:cantSplit/>
          <w:trHeight w:val="1331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 финансовых активов, изменения стоимости вследствие положительной переоценки, в части возмещения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ущерба</w:t>
            </w:r>
            <w:proofErr w:type="gramStart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ругих</w:t>
            </w:r>
            <w:proofErr w:type="spellEnd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операций, увеличивающих доходы учреждения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1XX</w:t>
            </w:r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D3B0E" w:rsidRPr="00FE0B25" w:rsidTr="001B058A">
        <w:trPr>
          <w:cantSplit/>
          <w:trHeight w:val="1428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обязательств, изменения стоимости вследствие положительной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переоценки</w:t>
            </w:r>
            <w:proofErr w:type="gramStart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ругих</w:t>
            </w:r>
            <w:proofErr w:type="spellEnd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операций, увеличивающих доходы учреждения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1XX</w:t>
            </w:r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32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доходов текущего финансового года в сумме ежемесячной платы или в соответствии с установленным договором аренды графиком поступления арендных платежей от предоставления прав пользования активами при операционной аренде (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(финансовой) аренде) в уменьшение ранее начисленных доходов будущих периодов по операционной аренде (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(финансовой) аренде)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12X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12X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принудител</w:t>
            </w:r>
            <w:r w:rsidR="005E285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изъятия, предусматривающие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уточнение по сроку платежа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14Х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331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4.1.5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бюджетном учете суммы начисленных администратором доходов от предоставления межбюджетных трансфертов сумм доходов по полученным целевым межбюджетным трансфертам текущего характера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</w:t>
            </w:r>
            <w:r w:rsidR="005E285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выполнению условий при передаче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от грантов, предоставленных с условиями передачи активов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15Х</w:t>
            </w:r>
          </w:p>
        </w:tc>
        <w:tc>
          <w:tcPr>
            <w:tcW w:w="3244" w:type="dxa"/>
            <w:shd w:val="clear" w:color="auto" w:fill="auto"/>
            <w:hideMark/>
          </w:tcPr>
          <w:p w:rsidR="007E1C4B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трансферте, передаваемом с условием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A867E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0510453);</w:t>
            </w:r>
          </w:p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достижении значений результатов предоставления (использования) целевых средств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</w:t>
            </w:r>
            <w:r w:rsidR="007E1C4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</w:t>
            </w:r>
            <w:r w:rsidR="007E1C4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3432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бюджетном учете суммы начисленных администратором доходов от предоставления межбюджетных трансфертов сумм доходов по полученным целевым межбюджетным трансфертам капитального характера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</w:t>
            </w:r>
            <w:r w:rsidR="005E285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выполнению условий при передаче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активов, от грантов, предоставленных с условиями передачи активов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16Х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Извещение о трансферте, передаваемом с условием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7E1C4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0510453); </w:t>
            </w:r>
            <w:r w:rsidR="007E1C4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 достижении значений результатов предоставления (использования) целевых средств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</w:t>
            </w:r>
            <w:r w:rsidR="007E1C4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</w:t>
            </w:r>
            <w:r w:rsidR="007E1C4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4.1.7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доходов от реализации активов по договорам, предусматривающих рассрочку платежа, по факту прекращения на активы права собственности (права оперативного управления), зачисленные в доход текущего отчетного периода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172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4.1.8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доходов от безвозмездного права пользования активом, зачисленные в доход текущего отчетного периода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18X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18Х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4.1.9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по заключению счетов текущего финансового года (в</w:t>
            </w:r>
            <w:r w:rsidR="005A5E8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остатка</w:t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к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редиту счета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1X 1ХХ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7E1C4B" w:rsidP="007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4.1.10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расходов (уменьшения суммы ранее начисленных доходов, стоимости объектов активов, </w:t>
            </w:r>
            <w:r w:rsidR="008A7ED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увеличения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обязательств)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7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7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7E1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D3B0E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4.1.10.1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59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объектов нефинансовых активов, в том числе в части сумм восстановленной амортизации и накопленного убытка от обесценения, изменения стоимости вследствие отрицательной переоценки, торговой наценки (способ «Красное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сторно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  <w:proofErr w:type="gramStart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ругих операций, увеличивающих расходы учреждения;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1XX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 4XХ</w:t>
            </w:r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FF2DF5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DD3B0E" w:rsidRPr="00FE0B25" w:rsidTr="001B058A">
        <w:trPr>
          <w:cantSplit/>
          <w:trHeight w:val="1481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4.1.10.2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финансовых активов, изменения стоимости всле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дствие отрицательной переоценки, других операций, увеличивающих расходы учреждения;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1XX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FF2DF5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DD3B0E" w:rsidRPr="00FE0B25" w:rsidTr="001B058A">
        <w:trPr>
          <w:cantSplit/>
          <w:trHeight w:val="1437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4.1.10.3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обязательств, изменения стоимости вследствие отрицательной переоценки, изменения ориентировочной цены в случаях, предусмотренных отдельными нормативными правовыми актами Российской Федерации, иные операции в части уменьшения дебиторской задолженности по обязательствам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других операций, увеличивающих расходы учреждения;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1XX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жизни;</w:t>
            </w:r>
          </w:p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2E46CD" w:rsidRPr="00FE0B25" w:rsidTr="001B058A">
        <w:trPr>
          <w:cantSplit/>
          <w:trHeight w:val="4024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4.1.11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суммы расходов, связанных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</w:t>
            </w:r>
            <w:r w:rsidR="007F27F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реализацией активов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1 401 10 172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AF1989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риеме-передаче объектов нефинансовых активов</w:t>
            </w:r>
            <w:r w:rsidR="002E46CD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="007F27F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(ф. </w:t>
            </w:r>
            <w:r w:rsidR="002E46CD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0510448); </w:t>
            </w:r>
            <w:r w:rsidR="007F27F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E46CD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Решение о прекращении признания активами объектов нефинансовых активов (ф. 0510440); </w:t>
            </w:r>
            <w:r w:rsidR="007F27F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E46CD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Акт о списании объектов нефинансовых активов (кроме транспортных средств) (ф. 0510454); 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</w:t>
            </w:r>
            <w:r w:rsidR="007F27F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</w:t>
            </w:r>
            <w:r w:rsidR="007F27F1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4.1.12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расходов, связанных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р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еализацией готовой продукции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1 401 10 131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2XX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о списании материальных запасов</w:t>
            </w:r>
            <w:r w:rsidR="00227502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(ф. 0510460) 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2F78CB" w:rsidRPr="00FE0B25" w:rsidTr="001B058A">
        <w:trPr>
          <w:cantSplit/>
          <w:trHeight w:val="1216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4.1.13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по заключению счетов текущего финансового года (в</w:t>
            </w:r>
            <w:r w:rsidR="00227502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остатка</w:t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д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ебету счета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1X 1ХХ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27502" w:rsidP="0022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2E46CD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4.1.14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при выявлении ошибок прошлых лет (года, предшествующего отчетному) в текущем финансовом году по результатам контрольных мероприятий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асти: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22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22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22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F78C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4.1.14.1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</w:t>
            </w:r>
            <w:r w:rsidR="00227502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 3XХ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227502" w:rsidRPr="00FE0B25" w:rsidRDefault="00227502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16 1XХ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4.1.14.2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16 1XХ</w:t>
            </w:r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D3B0E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4.1.14.3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16 1XХ</w:t>
            </w:r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4.1.15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(прошлых финансовых лет) в текущем финансовом году по результатам контрольных мероприятий в 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6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6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66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F78C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4.1.15.1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</w:t>
            </w:r>
            <w:r w:rsidR="00227502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Х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66228B" w:rsidRPr="00FE0B25" w:rsidRDefault="0066228B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17 1XХ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4.1.15.2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17 1XХ</w:t>
            </w:r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D3B0E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4.1.15.3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17 1XХ</w:t>
            </w:r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4.1.16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при выявлении ошибок прошлых лет (года, предшествующего отчетному) в текущем финансовом году по результатам контрольных мероприятий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асти: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F78C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4.1.16.1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</w:t>
            </w:r>
            <w:r w:rsidR="0066228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16 1XХ</w:t>
            </w:r>
          </w:p>
        </w:tc>
        <w:tc>
          <w:tcPr>
            <w:tcW w:w="1150" w:type="dxa"/>
            <w:shd w:val="clear" w:color="auto" w:fill="auto"/>
            <w:hideMark/>
          </w:tcPr>
          <w:p w:rsidR="002E46CD" w:rsidRPr="00FE0B25" w:rsidRDefault="002E46CD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Х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4.1.16.2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16 1XХ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4.1.16.3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16 1XХ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2E46CD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4.1.17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(прошлых финансовых лет) в текущем финансовом году по результатам контрольных мероприятий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 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F78C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4.1.17.1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</w:t>
            </w:r>
            <w:r w:rsidR="006F30F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17 1XХ</w:t>
            </w:r>
          </w:p>
        </w:tc>
        <w:tc>
          <w:tcPr>
            <w:tcW w:w="1150" w:type="dxa"/>
            <w:shd w:val="clear" w:color="auto" w:fill="auto"/>
            <w:hideMark/>
          </w:tcPr>
          <w:p w:rsidR="002E46CD" w:rsidRPr="00FE0B25" w:rsidRDefault="002E46CD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Х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4.1.17.2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17 1XХ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4.1.17.3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17 1XХ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2E46CD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4.1.18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(года, предшествующего отчетному) в текущем финансовом году субъектом учета в части: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F78C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4.1.18.1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</w:t>
            </w:r>
            <w:r w:rsidR="006F30F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Х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18 1XХ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6F30F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4.1.18.2</w:t>
            </w:r>
          </w:p>
        </w:tc>
        <w:tc>
          <w:tcPr>
            <w:tcW w:w="3871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6F30FB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18 1XХ</w:t>
            </w:r>
          </w:p>
        </w:tc>
        <w:tc>
          <w:tcPr>
            <w:tcW w:w="3244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6F30FB" w:rsidRPr="00FE0B25" w:rsidRDefault="006F30FB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6F30FB" w:rsidRPr="00FE0B25" w:rsidRDefault="006F30FB" w:rsidP="007A4F76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6F30FB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4.1.18.3</w:t>
            </w:r>
          </w:p>
        </w:tc>
        <w:tc>
          <w:tcPr>
            <w:tcW w:w="3871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6F30FB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18 1XХ</w:t>
            </w:r>
          </w:p>
        </w:tc>
        <w:tc>
          <w:tcPr>
            <w:tcW w:w="3244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6F30FB" w:rsidRPr="00FE0B25" w:rsidRDefault="006F30FB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6F30FB" w:rsidRPr="00FE0B25" w:rsidRDefault="006F30FB" w:rsidP="007A4F76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4.1.19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(прошлых финансовых лет) в текущем финансовом году субъектом учета в 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7A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7A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F78C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4.1.19.1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</w:t>
            </w:r>
            <w:r w:rsidR="006F30F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Х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0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19 1XХ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</w:tr>
      <w:tr w:rsidR="006F30F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4.1.19.2</w:t>
            </w:r>
          </w:p>
        </w:tc>
        <w:tc>
          <w:tcPr>
            <w:tcW w:w="3871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6F30FB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19 1XХ</w:t>
            </w:r>
          </w:p>
        </w:tc>
        <w:tc>
          <w:tcPr>
            <w:tcW w:w="3244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6F30FB" w:rsidRPr="00FE0B25" w:rsidRDefault="006F30FB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6F30FB" w:rsidRPr="00FE0B25" w:rsidRDefault="006F30FB" w:rsidP="007A4F76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6F30FB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4.1.19.3</w:t>
            </w:r>
          </w:p>
        </w:tc>
        <w:tc>
          <w:tcPr>
            <w:tcW w:w="3871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6F30FB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19 1XХ</w:t>
            </w:r>
          </w:p>
        </w:tc>
        <w:tc>
          <w:tcPr>
            <w:tcW w:w="3244" w:type="dxa"/>
            <w:shd w:val="clear" w:color="auto" w:fill="auto"/>
            <w:hideMark/>
          </w:tcPr>
          <w:p w:rsidR="006F30FB" w:rsidRPr="00FE0B25" w:rsidRDefault="006F30FB" w:rsidP="006F3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6F30FB" w:rsidRPr="00FE0B25" w:rsidRDefault="006F30FB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6F30FB" w:rsidRPr="00FE0B25" w:rsidRDefault="006F30FB" w:rsidP="007A4F76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2E46CD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4.1.20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(года, предшествующего отчетному) в текущем финансовом году субъектом учета в части: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50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50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50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F78C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4.1.20.1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</w:t>
            </w:r>
            <w:r w:rsidR="0050460C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18 1XХ</w:t>
            </w:r>
          </w:p>
        </w:tc>
        <w:tc>
          <w:tcPr>
            <w:tcW w:w="1150" w:type="dxa"/>
            <w:shd w:val="clear" w:color="auto" w:fill="auto"/>
            <w:hideMark/>
          </w:tcPr>
          <w:p w:rsidR="002E46CD" w:rsidRPr="00FE0B25" w:rsidRDefault="002E46CD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Х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4.1.20.2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18 1XХ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4.1.20.3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18 1XХ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2E46CD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(прошлых финансовых лет) в текущем финансовом году субъектом учета в 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2E46CD" w:rsidRPr="00FE0B25" w:rsidRDefault="002E46CD" w:rsidP="0050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2E46CD" w:rsidRPr="00FE0B25" w:rsidRDefault="002E46CD" w:rsidP="0050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2E46CD" w:rsidRPr="00FE0B25" w:rsidRDefault="002E46CD" w:rsidP="0050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2F78CB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4.1.21.1</w:t>
            </w:r>
          </w:p>
        </w:tc>
        <w:tc>
          <w:tcPr>
            <w:tcW w:w="3871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</w:t>
            </w:r>
            <w:r w:rsidR="0050460C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19 1XХ</w:t>
            </w:r>
          </w:p>
        </w:tc>
        <w:tc>
          <w:tcPr>
            <w:tcW w:w="1150" w:type="dxa"/>
            <w:shd w:val="clear" w:color="auto" w:fill="auto"/>
            <w:hideMark/>
          </w:tcPr>
          <w:p w:rsidR="002E46CD" w:rsidRPr="00FE0B25" w:rsidRDefault="002E46CD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Х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</w:t>
            </w:r>
            <w:r w:rsidR="004E281B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с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2E46CD" w:rsidRPr="00FE0B25" w:rsidRDefault="002E46CD" w:rsidP="00A86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4.1.21.2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19 1XХ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DD3B0E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4.1.21.3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19 1XХ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0003D1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</w:tcPr>
          <w:p w:rsidR="000003D1" w:rsidRPr="00FE0B25" w:rsidRDefault="000003D1" w:rsidP="00000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4.1.22</w:t>
            </w:r>
          </w:p>
        </w:tc>
        <w:tc>
          <w:tcPr>
            <w:tcW w:w="3871" w:type="dxa"/>
          </w:tcPr>
          <w:p w:rsidR="000003D1" w:rsidRPr="00FE0B25" w:rsidRDefault="000003D1" w:rsidP="000003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</w:t>
            </w:r>
            <w:r w:rsidR="00436C88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ухгалтерском учете уточнение (увеличение) при подтверждении потребности ранее признанных расчетов</w:t>
            </w:r>
            <w:r w:rsidR="00436C88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н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еиспользованным остаткам целевых субсидий, подлежавших подтверждению</w:t>
            </w:r>
            <w:r w:rsidR="00436C88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 п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отребности</w:t>
            </w:r>
            <w:r w:rsidR="00436C88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и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сполнение принятых</w:t>
            </w:r>
            <w:r w:rsidR="00436C88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н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еисполненных</w:t>
            </w:r>
            <w:r w:rsidR="00436C88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о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тчетную дату обязательств</w:t>
            </w:r>
            <w:r w:rsidR="00436C88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ц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елях достижения значений результатов целевой субсидии (при реорганизации, межведомственная, межбюджетная передача)</w:t>
            </w:r>
          </w:p>
        </w:tc>
        <w:tc>
          <w:tcPr>
            <w:tcW w:w="1134" w:type="dxa"/>
          </w:tcPr>
          <w:p w:rsidR="000003D1" w:rsidRPr="00FE0B25" w:rsidRDefault="000003D1" w:rsidP="00000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КДБ</w:t>
            </w:r>
          </w:p>
        </w:tc>
        <w:tc>
          <w:tcPr>
            <w:tcW w:w="1985" w:type="dxa"/>
          </w:tcPr>
          <w:p w:rsidR="000003D1" w:rsidRPr="00FE0B25" w:rsidRDefault="000003D1" w:rsidP="00000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 401 10 1Х0</w:t>
            </w:r>
          </w:p>
        </w:tc>
        <w:tc>
          <w:tcPr>
            <w:tcW w:w="1150" w:type="dxa"/>
          </w:tcPr>
          <w:p w:rsidR="000003D1" w:rsidRPr="00FE0B25" w:rsidRDefault="000003D1" w:rsidP="00000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</w:tcPr>
          <w:p w:rsidR="000003D1" w:rsidRPr="00FE0B25" w:rsidRDefault="000003D1" w:rsidP="00000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1ХХ</w:t>
            </w:r>
          </w:p>
        </w:tc>
        <w:tc>
          <w:tcPr>
            <w:tcW w:w="3244" w:type="dxa"/>
            <w:shd w:val="clear" w:color="auto" w:fill="auto"/>
          </w:tcPr>
          <w:p w:rsidR="000003D1" w:rsidRPr="00FE0B25" w:rsidRDefault="000003D1" w:rsidP="00000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0003D1" w:rsidRPr="00FE0B25" w:rsidRDefault="000003D1" w:rsidP="007A4F76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0003D1" w:rsidRPr="00FE0B25" w:rsidRDefault="000003D1" w:rsidP="007A4F76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7A4F76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</w:tcPr>
          <w:p w:rsidR="007A4F76" w:rsidRPr="00FE0B25" w:rsidRDefault="007A4F76" w:rsidP="007A4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4.1.23</w:t>
            </w:r>
          </w:p>
        </w:tc>
        <w:tc>
          <w:tcPr>
            <w:tcW w:w="3871" w:type="dxa"/>
          </w:tcPr>
          <w:p w:rsidR="007A4F76" w:rsidRPr="00FE0B25" w:rsidRDefault="007A4F76" w:rsidP="007A4F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</w:t>
            </w:r>
            <w:r w:rsidR="001B058A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операции при исправлении ошибок, выявленных в году, предшествующему отчетному, и ошибок прошлых лет по контрольным мероприятиям (до проведения контрольных мероприятий)</w:t>
            </w:r>
            <w:proofErr w:type="gramEnd"/>
          </w:p>
        </w:tc>
        <w:tc>
          <w:tcPr>
            <w:tcW w:w="1134" w:type="dxa"/>
          </w:tcPr>
          <w:p w:rsidR="007A4F76" w:rsidRPr="00FE0B25" w:rsidRDefault="007A4F76" w:rsidP="007A4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</w:tcPr>
          <w:p w:rsidR="007A4F76" w:rsidRPr="00FE0B25" w:rsidRDefault="007A4F76" w:rsidP="007A4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 401 10 1Х0</w:t>
            </w:r>
          </w:p>
        </w:tc>
        <w:tc>
          <w:tcPr>
            <w:tcW w:w="1150" w:type="dxa"/>
          </w:tcPr>
          <w:p w:rsidR="007A4F76" w:rsidRPr="00FE0B25" w:rsidRDefault="007A4F76" w:rsidP="007A4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</w:tcPr>
          <w:p w:rsidR="007A4F76" w:rsidRPr="00FE0B25" w:rsidRDefault="007A4F76" w:rsidP="007A4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 401 10 1Х0</w:t>
            </w:r>
          </w:p>
        </w:tc>
        <w:tc>
          <w:tcPr>
            <w:tcW w:w="3244" w:type="dxa"/>
            <w:shd w:val="clear" w:color="auto" w:fill="auto"/>
          </w:tcPr>
          <w:p w:rsidR="007A4F76" w:rsidRPr="00FE0B25" w:rsidRDefault="007A4F76" w:rsidP="007A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7A4F76" w:rsidRPr="00FE0B25" w:rsidRDefault="007A4F76" w:rsidP="00DA7A37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7A4F76" w:rsidRPr="00FE0B25" w:rsidRDefault="007A4F76" w:rsidP="00DA7A37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6E48B3">
        <w:trPr>
          <w:cantSplit/>
          <w:trHeight w:val="1125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4.1.24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бюджетном учете операции по переносу сумм доходов будущих периодов к признанию в очередные годы на доходы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периодов к признанию в текущем году</w:t>
            </w:r>
          </w:p>
        </w:tc>
        <w:tc>
          <w:tcPr>
            <w:tcW w:w="1134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1 401 49 151</w:t>
            </w:r>
          </w:p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1 401 41 151</w:t>
            </w:r>
          </w:p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488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0 401 20 000 «Расходы текущего финансового года»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объектов учета, составляющих финансовый результат;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контрагенты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по соответствующим показателям, идентифицирующим контрагента расчетов, необходимых для раскрытия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 бухгалтерской (финансовой) отчетности взаимосвязанных показателей, подлежащих исключению при формировании консолидированной бухгалтерской (финансовой) отчетности;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при отражении операций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по исправлению ошибок прошлых лет: коды причин образования ошибок прошлых лет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суммы расходов (при списании, выбытии с учета, формировании резервов, признании обязательств)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нефинансовых активов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 4XХ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DD3B0E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4.2.1.2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финансовых активов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FF2DF5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DD3B0E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4.2.1.3</w:t>
            </w:r>
          </w:p>
        </w:tc>
        <w:tc>
          <w:tcPr>
            <w:tcW w:w="3871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 (признания, превышения номинальной стоимости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других операций, увеличивающих расходы учреждения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D3B0E" w:rsidRPr="00FE0B25" w:rsidRDefault="00DD3B0E" w:rsidP="00DD3B0E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заключению счетов текущего финансового года (в части 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остатка</w:t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д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ебету счета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2XХ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бюджетном учете уменьшение суммы расходов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59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 списания начисленной амортизации и убытка от обесценения при выбытии объектов нефинансовых активов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других операций, уменьшающих расходы учреждения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 4XХ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 (превышение цены размещения долговых обязательств над их номинальной стоимостью, поступление в бюджет средств от размещения государственных ценных бумаг, полученных в качестве накопленного купонного дохода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других операций, уменьшающих расходы учреждения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A7A37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59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заключению счетов текущего финансового года (в части 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остатка</w:t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к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редиту счета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расходы учреждения, произведенные ранее и учитываемых в составе расходов будущих периодов, в составе расходов текущего финансового года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2XX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 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 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4.2.6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операции по формированию резервов предстоящих расходов, увеличению резерва на сумму дисконтирования резерва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XXX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4.2.7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(года, предшествующего отчетному) в текущем финансовом году по результатам контрольных мероприятий в части: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4.2.7.1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26 2XX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DD3B0E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4.2.7.2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26 2XX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A7A37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4.2.7.3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26 2XX</w:t>
            </w:r>
          </w:p>
        </w:tc>
        <w:tc>
          <w:tcPr>
            <w:tcW w:w="1150" w:type="dxa"/>
            <w:shd w:val="clear" w:color="auto" w:fill="auto"/>
            <w:hideMark/>
          </w:tcPr>
          <w:p w:rsidR="00DD3B0E" w:rsidRPr="00FE0B25" w:rsidRDefault="00DD3B0E" w:rsidP="00DD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DA7A37" w:rsidRPr="00FE0B25" w:rsidRDefault="00DD3B0E" w:rsidP="00DD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(прошлых финансовых лет) в текущем финансовом году по результатам контрольных мероприятий в 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27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9504C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4.2.8.2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27 2XХ</w:t>
            </w:r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4.2.8.3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27 2XХ</w:t>
            </w:r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4.2.8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(года, предшествующего отчетному) в текущем финансовом году субъектом учета в части: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28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9504C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4.2.8.2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28 2XХ</w:t>
            </w:r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4.2.8.3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28 2XХ</w:t>
            </w:r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4.2.9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(прошлых финансовых лет) в текущем финансовом году субъектом учета в 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4.2.9.1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29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9504C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4.2.9.2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29 2XХ</w:t>
            </w:r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4.2.9.3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29 2XХ</w:t>
            </w:r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4.2.10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(года, предшествующего отчетному) в текущем финансовом году по результатам контрольных мероприятий в части: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4.2.10.1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DA7A37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  <w:r w:rsidR="009504C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КИФ</w:t>
            </w:r>
            <w:r w:rsidR="009504C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7A37" w:rsidRPr="00FE0B25" w:rsidRDefault="00DA7A37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26 2XX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 содержанием факта хозяйственной жизни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4.2.10.2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26 2XX</w:t>
            </w:r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</w:p>
        </w:tc>
      </w:tr>
      <w:tr w:rsidR="009504C9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4.2.10.3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26 2XX</w:t>
            </w:r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(прошлых финансовых лет) в текущем финансовом году по результатам контрольных мероприятий в 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4.2.11.1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9504C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27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4.2.11.2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27 2XХ</w:t>
            </w:r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504C9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4.2.11.3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27 2XХ</w:t>
            </w:r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(года, предшествующего отчетному) в текущем финансовом году субъектом учета в части: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4.2.12.1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9504C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28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4.2.12.2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28 2XХ</w:t>
            </w:r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504C9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4.2.12.3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28 2XХ</w:t>
            </w:r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при выявлении ошибок прошлых лет (прошлых финансовых лет) в текущем финансовом году субъектом учета в 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4.2.13.1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КРБ </w:t>
            </w:r>
            <w:r w:rsidR="009504C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29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504C9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4.2.13.2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активов;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2XX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29 2XХ</w:t>
            </w:r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504C9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4.2.13.3</w:t>
            </w:r>
          </w:p>
        </w:tc>
        <w:tc>
          <w:tcPr>
            <w:tcW w:w="3871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</w:t>
            </w:r>
          </w:p>
        </w:tc>
        <w:tc>
          <w:tcPr>
            <w:tcW w:w="113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30X XX 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29 2XХ</w:t>
            </w:r>
          </w:p>
        </w:tc>
        <w:tc>
          <w:tcPr>
            <w:tcW w:w="32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504C9" w:rsidRPr="00FE0B25" w:rsidRDefault="009504C9" w:rsidP="00950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III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обязательств</w:t>
            </w:r>
          </w:p>
        </w:tc>
        <w:tc>
          <w:tcPr>
            <w:tcW w:w="3685" w:type="dxa"/>
            <w:shd w:val="clear" w:color="auto" w:fill="auto"/>
            <w:hideMark/>
          </w:tcPr>
          <w:p w:rsidR="009504C9" w:rsidRPr="00FE0B25" w:rsidRDefault="009504C9" w:rsidP="009504C9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4.2.14</w:t>
            </w:r>
          </w:p>
        </w:tc>
        <w:tc>
          <w:tcPr>
            <w:tcW w:w="3871" w:type="dxa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при исправлении ошибок, выявленных в году, предшествующему отчетному, и ошибок прошлых лет по контрольным мероприятиям (до проведения контрольных мероприятий)</w:t>
            </w:r>
            <w:proofErr w:type="gramEnd"/>
          </w:p>
        </w:tc>
        <w:tc>
          <w:tcPr>
            <w:tcW w:w="1134" w:type="dxa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1 401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2XХ</w:t>
            </w:r>
          </w:p>
        </w:tc>
        <w:tc>
          <w:tcPr>
            <w:tcW w:w="1150" w:type="dxa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1 401 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2XХ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58553E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4.2.15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операции по заключению счетов текущего финансового года (в части 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остатка</w:t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к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редиту счета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noWrap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1 401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976AE3" w:rsidRPr="00FE0B25" w:rsidTr="006E48B3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976AE3" w:rsidRPr="00FE0B25" w:rsidRDefault="00976AE3" w:rsidP="006E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4.2.16</w:t>
            </w:r>
          </w:p>
        </w:tc>
        <w:tc>
          <w:tcPr>
            <w:tcW w:w="3871" w:type="dxa"/>
            <w:shd w:val="clear" w:color="auto" w:fill="auto"/>
            <w:hideMark/>
          </w:tcPr>
          <w:p w:rsidR="00976AE3" w:rsidRPr="00FE0B25" w:rsidRDefault="00976AE3" w:rsidP="006E4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</w:t>
            </w:r>
            <w:r w:rsidR="00BB28F2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б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юджетном учете списание сумм неиспользованного резерва предстоящих расходов</w:t>
            </w:r>
          </w:p>
        </w:tc>
        <w:tc>
          <w:tcPr>
            <w:tcW w:w="1134" w:type="dxa"/>
            <w:shd w:val="clear" w:color="auto" w:fill="auto"/>
            <w:hideMark/>
          </w:tcPr>
          <w:p w:rsidR="00976AE3" w:rsidRPr="00FE0B25" w:rsidRDefault="00976AE3" w:rsidP="006E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976AE3" w:rsidRPr="00FE0B25" w:rsidRDefault="00976AE3" w:rsidP="0097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1 401 60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976AE3" w:rsidRPr="00FE0B25" w:rsidRDefault="00976AE3" w:rsidP="006E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976AE3" w:rsidRPr="00FE0B25" w:rsidRDefault="00976AE3" w:rsidP="006E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3244" w:type="dxa"/>
            <w:shd w:val="clear" w:color="auto" w:fill="auto"/>
            <w:hideMark/>
          </w:tcPr>
          <w:p w:rsidR="00976AE3" w:rsidRPr="00FE0B25" w:rsidRDefault="00976AE3" w:rsidP="006E4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976AE3" w:rsidRPr="00FE0B25" w:rsidRDefault="00976AE3" w:rsidP="006E4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976AE3" w:rsidRPr="00FE0B25" w:rsidRDefault="00976AE3" w:rsidP="006E4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0 401 30 000 «Финансовый результат прошлых отчетных периодов»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2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учет не предусмотрен</w:t>
            </w: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суммы уценки, полученные в результате переоценки, предусмотренной законодательством Российской Федерации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 объектов нефинансовых активов;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504C9" w:rsidRPr="00FE0B25" w:rsidRDefault="009504C9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 4X0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начисленной амортизации;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обесценения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XX 4X0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1.13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 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Отражены в бюджетном учете суммы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дооценки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полученные в результате переоценки, предусмотренной законодательством Российской Федерации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3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4.3.2.1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стоимости объектов нефинансовых активов;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  <w:p w:rsidR="009504C9" w:rsidRPr="00FE0B25" w:rsidRDefault="009504C9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 3X0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4.3.2.2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начисленной амортизации;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XX 4X0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4.3.2.3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обесценения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1 114 XX 4X0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1.13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FF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показатели расчетов, сформированных в результате перевода показателей активов и обязательств на дату изменения типа учреждения, отражаются последними (окончательными) операциями по бюджетному учету на дату изменения типа учреждения (</w:t>
            </w:r>
            <w:r w:rsidR="00FF2DF5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по дебету счета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9504C9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1 304 06 731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4.3.4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FF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показатели расчетов, сформированных в результате перевода показателей активов и обязательств на дату изменения типа учреждения, отражаются последними (окончательными) операциями по бюджетному учету на дату изменения типа учреждения (</w:t>
            </w:r>
            <w:r w:rsidR="00FF2DF5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по кредиту счета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1 304 06 831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3.9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607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4.3.5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FF2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при заключении счетов текущего финансового года учреждений (</w:t>
            </w:r>
            <w:r w:rsidR="00FF2DF5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по дебету счета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4.3.5.1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поступлений, зачисленных в бюджет при завершении финансового года;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02 XX0</w:t>
            </w:r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4.3.5.2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внутриведомственных расчетов;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XX0</w:t>
            </w:r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3.7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4.3.5.3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59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(расходов) текущего 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года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исправления ошибок прошлых лет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9504C9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XX XXX</w:t>
            </w:r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жизни, коды причин образования ошибок прошлых лет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4.3.6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при заключении счетов текущего финансового года учреждений (кредитовый остаток)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428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4.3.6.1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по платежам в бюджет с финансовым органом;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05 XX0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3.8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DA7A37" w:rsidRPr="00FE0B25" w:rsidTr="001B058A">
        <w:trPr>
          <w:cantSplit/>
          <w:trHeight w:val="1256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4.3.6.2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внутриведомственных расчетов;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04 XX0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3.7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DA7A37" w:rsidRPr="00FE0B25" w:rsidTr="001B058A">
        <w:trPr>
          <w:cantSplit/>
          <w:trHeight w:val="1779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4.3.6.3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59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(расходов) текущего </w:t>
            </w:r>
            <w:r w:rsidR="00590988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года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исправления ошибок прошлых лет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9504C9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XX XXX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1 401 30 000</w:t>
            </w:r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жизни, коды причин образования ошибок прошлых лет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jc w:val="center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DA7A37" w:rsidRPr="00FE0B25" w:rsidTr="001B058A">
        <w:trPr>
          <w:cantSplit/>
          <w:trHeight w:val="396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Счет 0 </w:t>
            </w:r>
            <w:r w:rsidR="009504C9"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401 40</w:t>
            </w: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 «Доходы будущих периодов»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дохода (поступления</w:t>
            </w:r>
            <w:r w:rsidR="00E843ED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контрагент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при учете расчетов по доходам от предоставления трансфертов с условиями: дополнительный аналитический признак, идентифицирующий целевое назначение средств, предоставляемых с условиями при передаче активов (кодов целей) (при наличии); реквизиты договора финансовой (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E843ED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аренды;</w:t>
            </w:r>
            <w:r w:rsidR="00FF2DF5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асти доходов будущих периодов, ожидаемых в иностранной валюте - вид валюты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доходы будущих периодов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4.4.1.1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начисления доходов будущих периодов от продукции животноводства (приплод, привес, прирост животных) и земледелия; прав пользования активами; договора финансовой (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аренды (согласно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B0252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4.4.1.2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расчетов по договорам и расчетным документам за выполненные и сданные заказчику отдельные этапы работ, услуг, по договорам, предусматривающим рассрочку платежа (до момента перехода права собственности), сумм арендных платежей, сумм ущерба, иной задолженности (согласно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0B0252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20X XX 560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4.4.1.3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начисления ссудодателем доходов будущих периодов от передачи ссудополучателю в безвозмездное срочное пользование (операционная аренда,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неоперационная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(финансовая) аренда) объектов нефинансовых активов в сумме справедливой (рыночной) стоимости на срок пользования передаваемых нефинансовых активов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1 210 05 560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FF2DF5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н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астоящего Приложения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2.19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доходы будущих периодов доходами текущего периода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7C39E9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1XX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10 1XX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пунктам 4.1.2 - 4.1.8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3871" w:type="dxa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Признано в бухгалтерском учете уточнение (увеличение) при подтверждении потребности ранее признанных расчетов по неиспользованным остаткам целевых субсидий, подлежавших подтверждению их потребности на исполнение принятых и неисполненных на отчетную дату обязательств в целях достижения значений результатов целевой субсидии (при реорганизации, внутриведомственных передачах)</w:t>
            </w:r>
          </w:p>
        </w:tc>
        <w:tc>
          <w:tcPr>
            <w:tcW w:w="1134" w:type="dxa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КРБ </w:t>
            </w:r>
          </w:p>
        </w:tc>
        <w:tc>
          <w:tcPr>
            <w:tcW w:w="1985" w:type="dxa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 304 ХХ 830</w:t>
            </w:r>
          </w:p>
        </w:tc>
        <w:tc>
          <w:tcPr>
            <w:tcW w:w="1150" w:type="dxa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1ХХ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DA7A37" w:rsidP="00DA7A37">
            <w:pPr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разделу 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proofErr w:type="gramEnd"/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4.4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Прекращено признание в бюджетном учете доходов будущих периодов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4.4.4.1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дебиторской задолженности от принудительного изъятия в связи с уменьшением суммы денежных взысканий (штрафов, пеней, неустоек), отмены постановления (решения) по делу об административном правонарушении, в случае возврата плательщикам излишне полученных доходов</w:t>
            </w:r>
            <w:r w:rsidR="000B0252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1ХХ</w:t>
            </w: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ХХ 66Х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Ведомость группового начисления доходов 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(ф. 0510431);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Ведомость начисления доходов бюджета 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(ф. 0510837);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Извещение о начислении доходов (уточнении начисления) 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(ф. 0510432);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Извещение о трансферте, передаваемом с условием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(ф. 0510453)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4.1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2.10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4.4.4.2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суммы остатка предстоящих доходов от предоставления права пользования активом (на момент расторжения договора) при досрочном прекращении договора аренды (имущественного найма), в соответствии с которым были переданы объекты учета операционной (в том числе земля), </w:t>
            </w:r>
            <w:proofErr w:type="spellStart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неоперационной</w:t>
            </w:r>
            <w:proofErr w:type="spellEnd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(финансовой) аренды, а </w:t>
            </w:r>
            <w:r w:rsidR="00E843ED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 при досрочном расторжении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соглашения по предоставлению права ограниченного пользования земельными участками (сервитут)</w:t>
            </w:r>
            <w:r w:rsidR="000B0252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12Х</w:t>
            </w: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2Х 66Х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(дополнительное соглашение) о расторжении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4.4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2.10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4.4.4.3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уменьшения дебиторской задолженности по доходам 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предоставления целевых межбюджетных трансфертов в связи с уменьшением объема це</w:t>
            </w:r>
            <w:r w:rsidR="000B0252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левого межбюджетного трансферта;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1Х1</w:t>
            </w: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Х</w:t>
            </w:r>
            <w:proofErr w:type="gramStart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4.4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2.10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4.4.4.4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неиспользованного получателями объема финансового обеспечения обязательств за счет целевых межбюджетных трансфертов, в случае если перечисление средств в указанной сумме не осуществлялось</w:t>
            </w:r>
            <w:r w:rsidR="000B0252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1Х1</w:t>
            </w: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Х</w:t>
            </w:r>
            <w:proofErr w:type="gramStart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66Х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4.4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2.10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4.4.4.5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BB28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уменьшения (списания) дебиторской задолженности 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связи с уточнением суммы задолженности по </w:t>
            </w:r>
            <w:r w:rsidR="00BB28F2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отдельным основаниям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 также с не </w:t>
            </w:r>
            <w:r w:rsidR="000B0252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установлением виновных лиц;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1XХ</w:t>
            </w: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КИФ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 XX 66Х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DA7A37" w:rsidP="00BB28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предусмотренный согласно учетной полит</w:t>
            </w:r>
            <w:r w:rsidR="00BB28F2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4.4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2.14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4.4.4.6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 остатка предстоящих расходов от предоставления актива в безвозмездное (бессрочное) пользование (</w:t>
            </w:r>
            <w:proofErr w:type="spellStart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неоперационную</w:t>
            </w:r>
            <w:proofErr w:type="spellEnd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(финансовую) аренду), безвозмездное срочное пользование (операционную аренду) (на момент расторжения договора) при досрочном прекращении договора, в соответствии с которым были переданы объекты учета</w:t>
            </w:r>
            <w:r w:rsidR="000B0252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12Х</w:t>
            </w: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1 210 05 66Х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4.4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2.19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4.4.4.7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остаточной стоимости права пользования активом при досрочном прекращении договоров аренды (имущественного найма) объектами имущества, в том числе земельными участками, относящихся к операционной аренде на льготных условиях 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7C39E9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4X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18Х</w:t>
            </w: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4Х 451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AF1989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="00FF17BA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 п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риеме-передаче объектов нефинансовых активов</w:t>
            </w:r>
            <w:r w:rsidR="00DA7A37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(ф. 0510448)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4.4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настоящего </w:t>
            </w:r>
            <w:proofErr w:type="spellStart"/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1.11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323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0 401 50 000 «Расходы будущих периодов»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расходов (выплат), предусмотренных сметой (планом финансово-хозяйственной деятельности) учреждения, по государственным (муниципальным) контрактам (договорам), соглашениям</w:t>
            </w:r>
            <w:proofErr w:type="gramEnd"/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расходы учреждения, произведенные в текущем финансовом году, но относимые к очередным финансовым периодам по соответствующим операциям и объектам учета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предстоящих расходов субъекта учета-подрядчика, предусмотренные сводным сметным расчетом, понесенные в отчетном периоде в связи с предстоящими работами (приобретенных через подотчетных лиц);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1 208 XX 660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2.13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предстоящих расходов субъекта учета-подрядчика, предусмотренные сводным сметным расчетом, понесенные в отчетном периоде в связи с предстоящими работами (по расчетам с поставщиком, подрядчиком);</w:t>
            </w:r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XX 730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4.5.1.3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расчетов по платежам в 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XX 730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6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ссудодателем расходы будущих периодов от передачи ссудополучателю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 безвозмездное срочное пользование (операционную аренду,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неоперационную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(финансовую) аренду) объектов нефинансовых активов в сумме справедливой (рыночной) стоимости на срок пользования передаваемых нефинансовых активов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1 210 05 660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 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2.19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 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403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Признаны в бюджетном учете операции по формированию резерва по обязательствам учреждения, возникающим при поступлении закупаемых учреждением материальных ценностей, выполнении работ, оказании услуг, в случае принятия денежного обязательства согласно документу о приемке на дату отличную от даты поступления материальных ценностей (выполнения работ, оказания услуг), а также по иным обязательствам, неопределенным по величине и (или) времени исполнения, в случаях, предусмотренных актом учреждения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принятого при формировании его учетной политики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2ХХ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2ХХ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4.5.4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в составе расходов текущего периода расходы учреждения, произведенные ранее и учитываемые в составе расходов будущих периодов, в части: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4.5.4.2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4.5.5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в бюджетном учете списание расходов учреждения по оплате неотработанных дней отпуска, не возмещенных уволившимися работниками (сотрудниками), учитываемых в составе расходов будущих периодов, при увольнении работника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1 401 20 273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2ХХ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6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4.5.6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Признана ссудодателем в бюджетном учете сумма остатка предстоящих доходов от предоставления актива в безвозмездное (бессрочное) пользование (на момент расторжения договора) при досрочном прекращении договора, в соответствии с которым были переданы объекты учета в части: безвозмездного срочного пользования (операционной аренды);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неоперационной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(финансовой) аренды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05 56Х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Документ, предусмотренный согласно учетной политике (графику документооборота); соглашение о расторжение договора 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2.19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731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4.5.7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Признаны в бюджетном учете скорректированные расходы будущих периодов на сумму неотработанных дней отпуска, удержанных из окончательного расчета при увольнении  </w:t>
            </w:r>
          </w:p>
        </w:tc>
        <w:tc>
          <w:tcPr>
            <w:tcW w:w="1134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1 304 03 837</w:t>
            </w:r>
          </w:p>
        </w:tc>
        <w:tc>
          <w:tcPr>
            <w:tcW w:w="1150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1 401 50 211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Счет 0 401 60 000 «Резервы предстоящих расходов»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создаваемого резерва; контрагент (при наличии)</w:t>
            </w:r>
          </w:p>
        </w:tc>
      </w:tr>
      <w:tr w:rsidR="00DA7A37" w:rsidRPr="00FE0B25" w:rsidTr="001B058A">
        <w:trPr>
          <w:cantSplit/>
          <w:trHeight w:val="4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Отражена в бюджетном учете сумма сформированного резерва по обязательствам учреждения, возникающим при поступлении закупаемых учреждением материальных ценностей, выполнении работ, оказании услуг, в случае принятия денежного обязательства согласно документу о приемке на дату, отличную от даты поступления материальных ценностей (выполнения работ, оказания услуг), а также по иным обязательствам, неопределенным по величине и (или) времени исполнения, в случаях, предусмотренных актом учреждения, принятого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формировании его учетной политики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 видов нефинансовых активов;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1XX XX XXX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нефинансового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денежных документов;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1 201 35 510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разделу II 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зависимости от вида финансового актива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года;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4.6.1.4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будущих периодов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50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4.5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jc w:val="both"/>
              <w:rPr>
                <w:color w:val="000000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63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Отражена в бюджетном учете сумма сформированного резерва предстоящих расходов на оплату отпусков за фактически отработанное время или компенсаций за неиспользованный отпуск, в том числе при увольнении, включая платежи на обязательное социальное страхование (отложенных обязательств по оплате отпусков за фактически отработанное время), на выплату ежегодного вознаграждения за выслугу лет работникам организации, по обязательствам 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начислению которых существует на отчетную дату неопределенность по их размеру, с не наступившим сроком их исполнения (предъявления) и имеющие на момент признания в бюджетном учете расчетно-документальную обоснованную оценку с неопределенным временем (финансовым периодом) исполнения (предъявления) требования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4.6.2.1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вложений в нефинансовые активы;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XX 3XХ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4.6.2.3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33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Отражена в бюджетном учете сумма сформированного резерва на демонтаж и вывод основных средств из эксплуатации осуществляется по обязательствам, возникающим из условий эксплуатации основных средств, предусмотренных договором (соглашением) о его приобретении (создании, пользовании) (осуществление субъектом учета расходов при выводе объекта основных средств из эксплуатации, а также при восстановлении земельного участка, на котором объект расположен)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1 106 11 310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1 401 60 310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 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с 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4.6.4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Отражена в бюджетном учете сумма сформированного резерва в счет предстоящей оплаты по требованию заказчиков (покупателей) гарантийного ремонта, текущего обслуживания в случаях, предусмотренных договором поставки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4.6.4.2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 текущего финансового года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4.6.5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по формированию резерва: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4.6.5.1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обязательствам, возникающим в рамках рассмотрения претензий, исков, в том числе при досудебном (внесудебном) рассмотрении (по претензионным разбирательствам);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4.6.5.2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E84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иным обязательствам, по которым существует на отчетную дату неопределенность по их сроку исполнения или величине, которая определена на момент их принятия условно; 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4.6.5.3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реструктуризации по обязательствам в рамках плана (программы) реструктуризации деятельности учреждения; 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4.6.5.4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восстановление земельного участка осуществляется по обязательствам, возникающим из условий эксплуатации земельного участка, полученного по договору аренды (безвозмездного пользования), по которому предусмотрено его восстановление или обязательств, возникающих в силу законодательства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4.6.6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увеличение суммы резерва на сумму дисконтирования резерва в случае, если предполагаемый срок исполнения обязательства, по которому сформирован резерв, превышает 12 месяцев после годовой отчетной даты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1 401 20 234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4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4.6.7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уменьшение суммы резерва на сумму принятых обязательств, на которые был ранее образован резерв; при поступлении расчетных документов по соответствующим обязательствам; при признании претензионных требований, в том числе в досудебном (внесудебном) порядке); признании к возмещению ранее несогласованных сумм расходов по результатам проведенной экспертизы предоставленной медицинской помощи за пределами территории субъекта Российской Федерации) в части: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4.6.7.1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 обязательств;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XX 73Х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4.6.7.2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взносов на обязательное социальное страхование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XX 73Х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30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4.6.8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Отражено в бюджетном учете списание резерва на демонтаж 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>и вывод основных средств из эксплуатации в связи окончанием срока использования объекта основных средств, предусмотренного условиями его эксплуатации, по 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которому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были осуществлены расходы на демонтаж и (или) вывод объекта основных средств из эксплуатации, восстановление участка на котором он расположен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4.6.8.1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принятых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обязательства;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1 401 60 310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XX 73Х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4.6.8.2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 сборов, иных обязательных платежей в 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1 401 60 310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КРБ</w:t>
            </w:r>
          </w:p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КДБ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XX 73Х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3.3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2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4.6.9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Отражено в бюджетном учете списание неиспользованной суммы ранее сформированного резерва, за исключением резерва на демонтаж и вывод основных средств из эксплуатации в случае избыточности суммы признанного резерва или в случае 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прекращения выполнения условий признания резерва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75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4.6.9.2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расходов текущего финансового года 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1 401 60 310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2XХ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6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4.6.10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списание неиспользованной суммы ранее сформированного резерва, за исключением резерва на демонтаж и вывод основных средств из эксплуатации в случае избыточности суммы признанного резерва или в случае прекращения выполнения условий признания резерва, а также уменьшением сумм начисленного дисконтирования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1 401 60 310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1 401 20 234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41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4.6.11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Отражено в бюджетном учете списание суммы ранее сформированного резерва на демонтаж и вывод основных средств из эксплуатации в случае изменения условий использования объекта основных средств, предусмотренных договором купли-продажи, пользования, иным договором (соглашением), в результате которого у субъекта учета более не возникает обязанность по осуществлению расходов на демонтаж и (или) вывод объекта основных средств из эксплуатации, а также по восстановлению земельного</w:t>
            </w:r>
            <w:proofErr w:type="gram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1 401 60 310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1X 410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262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Прекращено признание в бюджетном учете права пользования активом при досрочном прекращении договоров аренды (имущественного найма) в сумме не использованного резерва по арендным платежам (в сумме резерва по арендным платежам за не использованный период права пользования (остаточной стоимости права пользования активом) 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</w:t>
            </w:r>
            <w:proofErr w:type="gram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XX 73Х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AF1989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r w:rsidR="00FF17BA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риеме-передаче объектов нефинансовых активов</w:t>
            </w:r>
            <w:r w:rsidR="00DA7A37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(ф. 0510448) 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1.11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31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4.6.13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Признана в бюджетном учете задолженность по обязательствам, принятым учреждением по ежемесячной оплате арендных платежей, в соответствии с графиком оплаты арендных платежей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XX0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XX 730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3.2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4.6.14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</w:t>
            </w:r>
            <w:r w:rsidR="006E48B3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 в бюджетном учете изменение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ориентировочной цены в случаях, предусмотренных отдельными нормативными правовыми актами Российской Федерации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60 XX0</w:t>
            </w:r>
          </w:p>
        </w:tc>
        <w:tc>
          <w:tcPr>
            <w:tcW w:w="1150" w:type="dxa"/>
            <w:shd w:val="clear" w:color="auto" w:fill="auto"/>
            <w:noWrap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1 401 10 1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4.6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4.1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875"/>
        </w:trPr>
        <w:tc>
          <w:tcPr>
            <w:tcW w:w="1369" w:type="dxa"/>
            <w:shd w:val="clear" w:color="auto" w:fill="auto"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4.6.15</w:t>
            </w:r>
          </w:p>
        </w:tc>
        <w:tc>
          <w:tcPr>
            <w:tcW w:w="3871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Прекращено признание в бюджетном учете неиспользованного резерва по арендным платежам, сформированного в части права пользования активом, при досрочном прекращении договоров аренды (имущественного найма) </w:t>
            </w:r>
          </w:p>
        </w:tc>
        <w:tc>
          <w:tcPr>
            <w:tcW w:w="1134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1985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60 2XX</w:t>
            </w:r>
          </w:p>
        </w:tc>
        <w:tc>
          <w:tcPr>
            <w:tcW w:w="1150" w:type="dxa"/>
            <w:shd w:val="clear" w:color="auto" w:fill="auto"/>
            <w:noWrap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КРБ</w:t>
            </w:r>
          </w:p>
        </w:tc>
        <w:tc>
          <w:tcPr>
            <w:tcW w:w="2126" w:type="dxa"/>
            <w:shd w:val="clear" w:color="auto" w:fill="auto"/>
          </w:tcPr>
          <w:p w:rsidR="00DA7A37" w:rsidRPr="00FE0B25" w:rsidRDefault="00DA7A37" w:rsidP="00DA7A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4Х 451</w:t>
            </w:r>
          </w:p>
        </w:tc>
        <w:tc>
          <w:tcPr>
            <w:tcW w:w="3244" w:type="dxa"/>
            <w:shd w:val="clear" w:color="auto" w:fill="auto"/>
          </w:tcPr>
          <w:p w:rsidR="00DA7A37" w:rsidRPr="00FE0B25" w:rsidRDefault="00AF1989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="00FF17BA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 п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риеме-передаче объектов нефинансовых активов</w:t>
            </w:r>
            <w:r w:rsidR="00DA7A37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(ф. 0510448) </w:t>
            </w:r>
          </w:p>
        </w:tc>
        <w:tc>
          <w:tcPr>
            <w:tcW w:w="3544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4.6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</w:tcPr>
          <w:p w:rsidR="00DA7A37" w:rsidRPr="00FE0B25" w:rsidRDefault="00DA7A37" w:rsidP="00DA7A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пункту 1.11 </w:t>
            </w:r>
            <w:r w:rsidR="007938E6"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настоящего Приложения</w:t>
            </w:r>
            <w:r w:rsidRPr="00F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500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4.9.2</w:t>
            </w:r>
          </w:p>
        </w:tc>
        <w:tc>
          <w:tcPr>
            <w:tcW w:w="3871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Отражены в бюджетном учете операции при заключении счетов текущего финансового года учреждений (кредитовый остаток) в части: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50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2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DA7A37" w:rsidRPr="00FE0B25" w:rsidTr="001B058A">
        <w:trPr>
          <w:cantSplit/>
          <w:trHeight w:val="1286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4.9.2.5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поступлений в бюджет;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402 10 XX0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402 30 000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4.7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</w:t>
            </w: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4.9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  <w:tr w:rsidR="00DA7A37" w:rsidRPr="00FE0B25" w:rsidTr="001B058A">
        <w:trPr>
          <w:cantSplit/>
          <w:trHeight w:val="1255"/>
        </w:trPr>
        <w:tc>
          <w:tcPr>
            <w:tcW w:w="1369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4.9.2.6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выбытий из 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КРБ КИФ</w:t>
            </w:r>
          </w:p>
        </w:tc>
        <w:tc>
          <w:tcPr>
            <w:tcW w:w="19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402 20 XX0</w:t>
            </w:r>
          </w:p>
        </w:tc>
        <w:tc>
          <w:tcPr>
            <w:tcW w:w="1150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гКБК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402 30 000</w:t>
            </w:r>
          </w:p>
        </w:tc>
        <w:tc>
          <w:tcPr>
            <w:tcW w:w="32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предусмотренный согласно учетной политике (графику документооборота)</w:t>
            </w:r>
          </w:p>
        </w:tc>
        <w:tc>
          <w:tcPr>
            <w:tcW w:w="3544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4.8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  <w:tc>
          <w:tcPr>
            <w:tcW w:w="3685" w:type="dxa"/>
            <w:shd w:val="clear" w:color="auto" w:fill="auto"/>
            <w:hideMark/>
          </w:tcPr>
          <w:p w:rsidR="00DA7A37" w:rsidRPr="00FE0B25" w:rsidRDefault="00DA7A37" w:rsidP="00DA7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пункту 4.9 </w:t>
            </w:r>
            <w:r w:rsidR="007938E6"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настоящего Приложения</w:t>
            </w:r>
            <w:r w:rsidRPr="00FE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соответствии с содержанием факта хозяйственной жизни</w:t>
            </w:r>
          </w:p>
        </w:tc>
      </w:tr>
    </w:tbl>
    <w:p w:rsidR="002E46CD" w:rsidRPr="00FE0B25" w:rsidRDefault="002E46CD">
      <w:pPr>
        <w:rPr>
          <w:color w:val="000000"/>
        </w:rPr>
      </w:pPr>
    </w:p>
    <w:sectPr w:rsidR="002E46CD" w:rsidRPr="00FE0B25" w:rsidSect="00615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701" w:right="1134" w:bottom="850" w:left="1134" w:header="708" w:footer="708" w:gutter="0"/>
      <w:pgNumType w:start="27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10" w:rsidRDefault="00EA7910" w:rsidP="002F78CB">
      <w:pPr>
        <w:spacing w:after="0" w:line="240" w:lineRule="auto"/>
      </w:pPr>
      <w:r>
        <w:separator/>
      </w:r>
    </w:p>
  </w:endnote>
  <w:endnote w:type="continuationSeparator" w:id="0">
    <w:p w:rsidR="00EA7910" w:rsidRDefault="00EA7910" w:rsidP="002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48" w:rsidRPr="00FE0B25" w:rsidRDefault="00ED2E48" w:rsidP="00FE0B2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48" w:rsidRPr="00FE0B25" w:rsidRDefault="00ED2E48" w:rsidP="00FE0B2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48" w:rsidRPr="00FE0B25" w:rsidRDefault="00ED2E48" w:rsidP="00FE0B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10" w:rsidRDefault="00EA7910" w:rsidP="002F78CB">
      <w:pPr>
        <w:spacing w:after="0" w:line="240" w:lineRule="auto"/>
      </w:pPr>
      <w:r>
        <w:separator/>
      </w:r>
    </w:p>
  </w:footnote>
  <w:footnote w:type="continuationSeparator" w:id="0">
    <w:p w:rsidR="00EA7910" w:rsidRDefault="00EA7910" w:rsidP="002F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48" w:rsidRPr="00FE0B25" w:rsidRDefault="00ED2E48" w:rsidP="00FE0B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48" w:rsidRPr="00FE0B25" w:rsidRDefault="00ED2E48" w:rsidP="00FE0B25">
    <w:pPr>
      <w:pStyle w:val="a5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48" w:rsidRPr="00FE0B25" w:rsidRDefault="00ED2E48" w:rsidP="00FE0B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6CD"/>
    <w:rsid w:val="000003D1"/>
    <w:rsid w:val="00060312"/>
    <w:rsid w:val="0007680C"/>
    <w:rsid w:val="00090F4E"/>
    <w:rsid w:val="000B0252"/>
    <w:rsid w:val="00115A43"/>
    <w:rsid w:val="001365DD"/>
    <w:rsid w:val="00193E6D"/>
    <w:rsid w:val="001A214D"/>
    <w:rsid w:val="001B058A"/>
    <w:rsid w:val="001D56B3"/>
    <w:rsid w:val="001F59EF"/>
    <w:rsid w:val="0020180F"/>
    <w:rsid w:val="00204404"/>
    <w:rsid w:val="00227502"/>
    <w:rsid w:val="00245A32"/>
    <w:rsid w:val="002A4536"/>
    <w:rsid w:val="002E1285"/>
    <w:rsid w:val="002E46CD"/>
    <w:rsid w:val="002F78CB"/>
    <w:rsid w:val="00322488"/>
    <w:rsid w:val="00355556"/>
    <w:rsid w:val="00390FBD"/>
    <w:rsid w:val="003A3BEE"/>
    <w:rsid w:val="003C3184"/>
    <w:rsid w:val="00413683"/>
    <w:rsid w:val="00436C88"/>
    <w:rsid w:val="004510D3"/>
    <w:rsid w:val="00452D0F"/>
    <w:rsid w:val="00483C2A"/>
    <w:rsid w:val="00485DB1"/>
    <w:rsid w:val="004C20B9"/>
    <w:rsid w:val="004E281B"/>
    <w:rsid w:val="0050460C"/>
    <w:rsid w:val="00510505"/>
    <w:rsid w:val="00524EDB"/>
    <w:rsid w:val="0058553E"/>
    <w:rsid w:val="00590988"/>
    <w:rsid w:val="005A5E87"/>
    <w:rsid w:val="005C7DFE"/>
    <w:rsid w:val="005E2857"/>
    <w:rsid w:val="00605B0F"/>
    <w:rsid w:val="00615E91"/>
    <w:rsid w:val="0063299F"/>
    <w:rsid w:val="00635BC3"/>
    <w:rsid w:val="00645207"/>
    <w:rsid w:val="006533BC"/>
    <w:rsid w:val="0066228B"/>
    <w:rsid w:val="006E48B3"/>
    <w:rsid w:val="006F28A4"/>
    <w:rsid w:val="006F30FB"/>
    <w:rsid w:val="0072473A"/>
    <w:rsid w:val="007562DC"/>
    <w:rsid w:val="007628A0"/>
    <w:rsid w:val="00785A51"/>
    <w:rsid w:val="00791B1B"/>
    <w:rsid w:val="007938E6"/>
    <w:rsid w:val="007A4F76"/>
    <w:rsid w:val="007C39E9"/>
    <w:rsid w:val="007C5B87"/>
    <w:rsid w:val="007E1C4B"/>
    <w:rsid w:val="007F27F1"/>
    <w:rsid w:val="00827F2E"/>
    <w:rsid w:val="0088328B"/>
    <w:rsid w:val="0089636F"/>
    <w:rsid w:val="008A3C23"/>
    <w:rsid w:val="008A7ED1"/>
    <w:rsid w:val="008E4D96"/>
    <w:rsid w:val="00907131"/>
    <w:rsid w:val="009468D7"/>
    <w:rsid w:val="009504C9"/>
    <w:rsid w:val="00951693"/>
    <w:rsid w:val="00976AE3"/>
    <w:rsid w:val="009A70C8"/>
    <w:rsid w:val="009F2D56"/>
    <w:rsid w:val="00A34C1C"/>
    <w:rsid w:val="00A867E8"/>
    <w:rsid w:val="00A87B70"/>
    <w:rsid w:val="00AD4FCF"/>
    <w:rsid w:val="00AF1989"/>
    <w:rsid w:val="00B24E03"/>
    <w:rsid w:val="00B32B6E"/>
    <w:rsid w:val="00B811E0"/>
    <w:rsid w:val="00BB28F2"/>
    <w:rsid w:val="00BC1550"/>
    <w:rsid w:val="00BD4F8C"/>
    <w:rsid w:val="00C14A04"/>
    <w:rsid w:val="00C30AAE"/>
    <w:rsid w:val="00C4266E"/>
    <w:rsid w:val="00C50A1D"/>
    <w:rsid w:val="00C80B72"/>
    <w:rsid w:val="00D059FA"/>
    <w:rsid w:val="00D31B03"/>
    <w:rsid w:val="00DA7A37"/>
    <w:rsid w:val="00DC48BA"/>
    <w:rsid w:val="00DD3B0E"/>
    <w:rsid w:val="00E57A56"/>
    <w:rsid w:val="00E65828"/>
    <w:rsid w:val="00E843ED"/>
    <w:rsid w:val="00EA6407"/>
    <w:rsid w:val="00EA7910"/>
    <w:rsid w:val="00ED2E48"/>
    <w:rsid w:val="00F25305"/>
    <w:rsid w:val="00F45394"/>
    <w:rsid w:val="00FE0B25"/>
    <w:rsid w:val="00FF17BA"/>
    <w:rsid w:val="00FF2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6C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E46CD"/>
    <w:rPr>
      <w:color w:val="954F72"/>
      <w:u w:val="single"/>
    </w:rPr>
  </w:style>
  <w:style w:type="paragraph" w:customStyle="1" w:styleId="msonormal0">
    <w:name w:val="msonormal"/>
    <w:basedOn w:val="a"/>
    <w:rsid w:val="002E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E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6">
    <w:name w:val="font6"/>
    <w:basedOn w:val="a"/>
    <w:rsid w:val="002E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2E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2E46C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E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E46C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E46C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E46C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E46C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E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E4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2E4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2E46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2E4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F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78CB"/>
  </w:style>
  <w:style w:type="paragraph" w:styleId="a7">
    <w:name w:val="footer"/>
    <w:basedOn w:val="a"/>
    <w:link w:val="a8"/>
    <w:uiPriority w:val="99"/>
    <w:unhideWhenUsed/>
    <w:rsid w:val="002F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7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10342</Words>
  <Characters>58954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КАЦ</dc:creator>
  <dc:description>Подготовлено экспертами Группы Актион</dc:description>
  <cp:lastModifiedBy>Ирина Имбрякова</cp:lastModifiedBy>
  <cp:revision>2</cp:revision>
  <dcterms:created xsi:type="dcterms:W3CDTF">2025-12-29T11:11:00Z</dcterms:created>
  <dcterms:modified xsi:type="dcterms:W3CDTF">2025-12-29T11:11:00Z</dcterms:modified>
</cp:coreProperties>
</file>