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andard"/>
        <w:jc w:val="center"/>
        <w:rPr/>
      </w:pPr>
      <w:r>
        <w:rPr>
          <w:b/>
          <w:bCs/>
          <w:sz w:val="28"/>
          <w:szCs w:val="28"/>
          <w:lang w:val="ru-RU"/>
        </w:rPr>
        <w:t>ПОЛОЖЕНИЕ</w:t>
      </w:r>
    </w:p>
    <w:p>
      <w:pPr>
        <w:pStyle w:val="Standard"/>
        <w:jc w:val="center"/>
        <w:rPr/>
      </w:pPr>
      <w:r>
        <w:rPr>
          <w:b/>
          <w:bCs/>
          <w:sz w:val="28"/>
          <w:szCs w:val="28"/>
          <w:lang w:val="ru-RU"/>
        </w:rPr>
        <w:t>Летнего творческого интенсива</w:t>
      </w:r>
    </w:p>
    <w:p>
      <w:pPr>
        <w:pStyle w:val="Standard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  <w:lang w:val="ru-RU"/>
        </w:rPr>
        <w:t xml:space="preserve">«Кантеле </w:t>
      </w:r>
      <w:r>
        <w:rPr>
          <w:b/>
          <w:bCs/>
          <w:sz w:val="28"/>
          <w:szCs w:val="28"/>
          <w:lang w:val="en-US"/>
        </w:rPr>
        <w:t>Open</w:t>
      </w:r>
      <w:r>
        <w:rPr>
          <w:b/>
          <w:bCs/>
          <w:sz w:val="28"/>
          <w:szCs w:val="28"/>
          <w:lang w:val="ru-RU"/>
        </w:rPr>
        <w:t>»</w:t>
      </w:r>
    </w:p>
    <w:p>
      <w:pPr>
        <w:pStyle w:val="Standard"/>
        <w:jc w:val="center"/>
        <w:rPr/>
      </w:pPr>
      <w:r>
        <w:rPr>
          <w:b/>
          <w:bCs/>
          <w:sz w:val="28"/>
          <w:szCs w:val="28"/>
          <w:lang w:val="en-US"/>
        </w:rPr>
        <w:t>17-21</w:t>
      </w:r>
      <w:r>
        <w:rPr>
          <w:b/>
          <w:bCs/>
          <w:sz w:val="28"/>
          <w:szCs w:val="28"/>
          <w:lang w:val="ru-RU"/>
        </w:rPr>
        <w:t xml:space="preserve"> июня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</w:rPr>
        <w:t xml:space="preserve"> года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ru-RU"/>
        </w:rPr>
        <w:t>г. Петрозаводск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numPr>
          <w:ilvl w:val="0"/>
          <w:numId w:val="1"/>
        </w:numPr>
        <w:ind w:left="585" w:right="0" w:hanging="300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Общие положения</w:t>
      </w:r>
    </w:p>
    <w:p>
      <w:pPr>
        <w:pStyle w:val="Normal"/>
        <w:shd w:val="clear" w:color="auto" w:fill="FFFFFF"/>
        <w:jc w:val="both"/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Настоящее Положение регламентирует условия и порядок проведения Летнего творческого интенсива «Кантеле 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Open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» (далее - Фестиваль).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Организатор Фестиваля: МОУ ДО «Детская музыкальная школа №1 им. Г. Синисало.</w:t>
      </w:r>
    </w:p>
    <w:p>
      <w:pPr>
        <w:pStyle w:val="Normal"/>
        <w:shd w:val="clear" w:color="auto" w:fill="FFFFFF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hd w:val="clear" w:color="auto" w:fill="FFFFFF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Партнеры Фестиваля: </w:t>
      </w:r>
    </w:p>
    <w:p>
      <w:pPr>
        <w:pStyle w:val="Normal"/>
        <w:numPr>
          <w:ilvl w:val="0"/>
          <w:numId w:val="0"/>
        </w:numPr>
        <w:shd w:val="clear" w:color="auto" w:fill="FFFFFF"/>
        <w:ind w:left="0" w:right="0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hd w:val="clear" w:color="auto" w:fill="FFFFFF"/>
        <w:ind w:left="189" w:right="0" w:hanging="189"/>
        <w:jc w:val="both"/>
        <w:rPr>
          <w:lang w:val="ru-RU"/>
        </w:rPr>
      </w:pP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Центр народного творчества и культурных инициатив Республики Карелия.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/>
      </w:pP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Место проведения: Россия, Республика Карелия, г. Петрозаводск, ул. Московская, д.12</w:t>
      </w:r>
    </w:p>
    <w:p>
      <w:pPr>
        <w:pStyle w:val="Normal"/>
        <w:shd w:val="clear" w:color="auto" w:fill="FFFFFF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Официальная страница ВКонтакте: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https://vk.com/kantele_open</w:t>
      </w:r>
    </w:p>
    <w:p>
      <w:pPr>
        <w:pStyle w:val="Normal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Standard"/>
        <w:jc w:val="both"/>
        <w:rPr/>
      </w:pPr>
      <w:r>
        <w:rPr>
          <w:b/>
          <w:bCs/>
          <w:sz w:val="24"/>
          <w:szCs w:val="24"/>
          <w:lang w:val="ru-RU"/>
        </w:rPr>
        <w:t>2. Цель Фестиваля:</w:t>
      </w:r>
    </w:p>
    <w:p>
      <w:pPr>
        <w:pStyle w:val="Standard"/>
        <w:ind w:left="0" w:right="0" w:firstLine="567"/>
        <w:jc w:val="both"/>
        <w:rPr/>
      </w:pPr>
      <w:r>
        <w:rPr>
          <w:sz w:val="24"/>
          <w:szCs w:val="24"/>
          <w:lang w:val="ru-RU"/>
        </w:rPr>
        <w:t>Организация творческой деятельности детей и подростков в период летних каникул.</w:t>
      </w:r>
    </w:p>
    <w:p>
      <w:pPr>
        <w:pStyle w:val="Normal"/>
        <w:shd w:val="clear" w:color="auto" w:fill="FFFFFF"/>
        <w:ind w:left="0" w:right="0" w:firstLine="567"/>
        <w:jc w:val="both"/>
        <w:rPr/>
      </w:pPr>
      <w:r>
        <w:rPr/>
      </w:r>
    </w:p>
    <w:p>
      <w:pPr>
        <w:pStyle w:val="Standard"/>
        <w:jc w:val="both"/>
        <w:rPr/>
      </w:pPr>
      <w:r>
        <w:rPr>
          <w:b/>
          <w:bCs/>
          <w:sz w:val="24"/>
          <w:szCs w:val="24"/>
          <w:lang w:val="ru-RU"/>
        </w:rPr>
        <w:t>3. Задачи Фестиваля:</w:t>
      </w:r>
    </w:p>
    <w:p>
      <w:pPr>
        <w:pStyle w:val="Normal"/>
        <w:jc w:val="both"/>
        <w:rPr/>
      </w:pPr>
      <w:r>
        <w:rPr>
          <w:lang w:val="ru-RU"/>
        </w:rPr>
        <w:t>-   популяризация  детского творчества;</w:t>
      </w:r>
    </w:p>
    <w:p>
      <w:pPr>
        <w:pStyle w:val="Normal"/>
        <w:jc w:val="both"/>
        <w:rPr/>
      </w:pPr>
      <w:r>
        <w:rPr>
          <w:lang w:val="ru-RU"/>
        </w:rPr>
        <w:t>-   вовлечение детей и подростков в исполнительство на кантеле;</w:t>
      </w:r>
    </w:p>
    <w:p>
      <w:pPr>
        <w:pStyle w:val="Normal"/>
        <w:jc w:val="both"/>
        <w:rPr/>
      </w:pPr>
      <w:r>
        <w:rPr>
          <w:lang w:val="ru-RU"/>
        </w:rPr>
        <w:t>-   обучение игре на кантеле новых исполнителей;</w:t>
      </w:r>
    </w:p>
    <w:p>
      <w:pPr>
        <w:pStyle w:val="Normal"/>
        <w:jc w:val="both"/>
        <w:rPr/>
      </w:pPr>
      <w:r>
        <w:rPr>
          <w:lang w:val="ru-RU"/>
        </w:rPr>
        <w:t>- погружение детей и подростков в народную музыкальную культуру Карелии.</w:t>
      </w:r>
    </w:p>
    <w:p>
      <w:pPr>
        <w:pStyle w:val="Normal"/>
        <w:spacing w:lineRule="auto" w:line="360"/>
        <w:ind w:left="180" w:right="0" w:hanging="0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Standard"/>
        <w:jc w:val="both"/>
        <w:rPr/>
      </w:pPr>
      <w:r>
        <w:rPr>
          <w:b/>
          <w:bCs/>
          <w:sz w:val="24"/>
          <w:szCs w:val="24"/>
          <w:lang w:val="ru-RU"/>
        </w:rPr>
        <w:t>4. Общие положения:</w:t>
      </w:r>
    </w:p>
    <w:p>
      <w:pPr>
        <w:pStyle w:val="Standard"/>
        <w:jc w:val="both"/>
        <w:rPr/>
      </w:pPr>
      <w:r>
        <w:rPr>
          <w:sz w:val="24"/>
          <w:szCs w:val="24"/>
          <w:lang w:val="ru-RU"/>
        </w:rPr>
        <w:t>4.1. Фестиваль проводится в очной форме с 17 по 21 июня 2024 года ежедневно с 10:00 до 14:00. Заключительное мероприятие состоится 21 июня.</w:t>
      </w:r>
    </w:p>
    <w:p>
      <w:pPr>
        <w:pStyle w:val="Standard"/>
        <w:jc w:val="both"/>
        <w:rPr/>
      </w:pPr>
      <w:r>
        <w:rPr>
          <w:sz w:val="24"/>
          <w:szCs w:val="24"/>
          <w:lang w:val="ru-RU"/>
        </w:rPr>
        <w:t xml:space="preserve">4.2. </w:t>
      </w:r>
      <w:r>
        <w:rPr>
          <w:rFonts w:eastAsia="Times New Roman" w:cs="Times New Roman"/>
          <w:b w:val="false"/>
          <w:i w:val="false"/>
          <w:iCs w:val="false"/>
          <w:color w:val="000000"/>
          <w:sz w:val="24"/>
          <w:szCs w:val="24"/>
          <w:lang w:val="ru-RU"/>
        </w:rPr>
        <w:t>Участниками Фестиваля являются учащиеся музыкальных школ класса кантеле, участники самодеятельных коллективов, играющие на кантеле. Возраст участников от 7 лет и старше.</w:t>
      </w:r>
    </w:p>
    <w:p>
      <w:pPr>
        <w:pStyle w:val="Standard"/>
        <w:jc w:val="both"/>
        <w:rPr/>
      </w:pPr>
      <w:r>
        <w:rPr>
          <w:sz w:val="24"/>
          <w:szCs w:val="24"/>
          <w:lang w:val="ru-RU"/>
        </w:rPr>
        <w:t xml:space="preserve">4.3. В рамках Фестиваля запланированы мастер-классы, </w:t>
      </w:r>
      <w:r>
        <w:rPr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групповые музыкальные и хореографические занятия, развивающие игры, конкурсы и т.д.</w:t>
      </w:r>
    </w:p>
    <w:p>
      <w:pPr>
        <w:pStyle w:val="Standard"/>
        <w:jc w:val="both"/>
        <w:rPr/>
      </w:pPr>
      <w:r>
        <w:rPr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4.4. В заключительный день Фестиваля участники могут быть поощрены дипломами или благодарственными письмами.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4.5. В рамках Фестиваля не предоставляется питание для всех участников. С 12.00 до 12.30 в буфете ежедневно будет организован чайный стол для всех участников, в это время допускается самостоятельный приём пищи в буфете по согласованию с Оргкомитетом.</w:t>
      </w:r>
    </w:p>
    <w:p>
      <w:pPr>
        <w:pStyle w:val="Standard"/>
        <w:jc w:val="both"/>
        <w:rPr/>
      </w:pPr>
      <w:r>
        <w:rPr>
          <w:sz w:val="24"/>
          <w:szCs w:val="24"/>
          <w:lang w:val="ru-RU"/>
        </w:rPr>
        <w:t>4.6. Организация проживания иногородних участников в период Фестиваля не предусмотрена.</w:t>
      </w:r>
    </w:p>
    <w:p>
      <w:pPr>
        <w:pStyle w:val="Standard"/>
        <w:jc w:val="both"/>
        <w:rPr/>
      </w:pPr>
      <w:r>
        <w:rPr>
          <w:sz w:val="24"/>
          <w:szCs w:val="24"/>
          <w:lang w:val="ru-RU"/>
        </w:rPr>
        <w:t>4.7. Участник самостоятельно обеспечивает себя одеждой, обувью, инструментом, иными принадлежностями.</w:t>
      </w:r>
    </w:p>
    <w:p>
      <w:pPr>
        <w:pStyle w:val="Standard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Standard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  <w:sz w:val="24"/>
          <w:szCs w:val="24"/>
          <w:lang w:val="ru-RU"/>
        </w:rPr>
        <w:t>5. Условия участия: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  <w:lang w:val="ru-RU"/>
        </w:rPr>
        <w:t xml:space="preserve">5.1. Участник Фестиваля присылает заполненную заявку (Приложение №1), копию Свидетельства о рождении (или копию паспорта) и фотографию на электронную почту </w:t>
      </w:r>
      <w:hyperlink r:id="rId2">
        <w:r>
          <w:rPr>
            <w:b w:val="false"/>
            <w:bCs w:val="false"/>
            <w:sz w:val="24"/>
            <w:szCs w:val="24"/>
            <w:lang w:val="ru-RU"/>
          </w:rPr>
          <w:t>kantele-open@yandex.ru</w:t>
        </w:r>
      </w:hyperlink>
      <w:r>
        <w:rPr>
          <w:b w:val="false"/>
          <w:bCs w:val="false"/>
          <w:sz w:val="24"/>
          <w:szCs w:val="24"/>
          <w:lang w:val="ru-RU"/>
        </w:rPr>
        <w:t xml:space="preserve"> . После получения подтверждения участия от Оргкомитета участник оплачивает организационный взнос по реквизитам, указанным в Приложении №2. В наименовании платежа необходимо указать 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«Кантеле 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en-US"/>
          <w14:textFill>
            <w14:solidFill>
              <w14:srgbClr w14:val="000000"/>
            </w14:solidFill>
          </w14:textFill>
        </w:rPr>
        <w:t>Open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» и </w:t>
      </w:r>
      <w:r>
        <w:rPr>
          <w:b w:val="false"/>
          <w:bCs w:val="false"/>
          <w:sz w:val="24"/>
          <w:szCs w:val="24"/>
          <w:lang w:val="ru-RU"/>
        </w:rPr>
        <w:t xml:space="preserve">ФИ участника, например: 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«Кантеле 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en-US"/>
          <w14:textFill>
            <w14:solidFill>
              <w14:srgbClr w14:val="000000"/>
            </w14:solidFill>
          </w14:textFill>
        </w:rPr>
        <w:t>Open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», Андреев Андрей.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5.2. Организационный взнос за участие в интенсиве «Кантеле 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en-US"/>
          <w14:textFill>
            <w14:solidFill>
              <w14:srgbClr w14:val="000000"/>
            </w14:solidFill>
          </w14:textFill>
        </w:rPr>
        <w:t>Open</w:t>
      </w: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» составляет 1900 рублей. Взнос перечисляется на расчётный счёт ДМШ № 1 им. Г. Синисало после подтверждения участия Оргкомитетом!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5.3. При отсутствии оплаты организационного взноса участник не допускается к участию.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5.4. Заявки принимаются до 05 июня 2024 года включительно. Оплата организационных взносов производится до 10 июня 2024 года включительно.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5.5. Заполняя заявку, каждый участник фестиваля таким образом дает согласие на обработку своих персональных данных, а также дает право Оргкомитету Фестиваля на дальнейшее использование фото и видеоматериалов с изображением участника на официальных сайтах, стендах, рекламных роликах, фотовыставках и в печатной продукции.</w:t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  <w:t>5.6. Оргкомитет Фестиваля имеет право досрочно прекратить прием заявок, если лимит участников   будет превышен.</w:t>
      </w:r>
    </w:p>
    <w:p>
      <w:pPr>
        <w:pStyle w:val="Standard"/>
        <w:jc w:val="both"/>
        <w:rPr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4"/>
          <w:szCs w:val="24"/>
          <w:u w:val="none" w:color="000000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Standard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  <w:lang w:val="ru-RU"/>
        </w:rPr>
        <w:t xml:space="preserve"> 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  <w:sz w:val="24"/>
          <w:szCs w:val="24"/>
          <w:lang w:val="ru-RU"/>
        </w:rPr>
        <w:t>6. Состав Оргкомитета: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- Магницкая Елена Викторовна (89114147565) - заслуженный работник культуры Карелии, руководитель «Кантеле </w:t>
      </w:r>
      <w:r>
        <w:rPr>
          <w:sz w:val="24"/>
          <w:szCs w:val="24"/>
          <w:lang w:val="en-US"/>
        </w:rPr>
        <w:t>Open</w:t>
      </w:r>
      <w:r>
        <w:rPr>
          <w:sz w:val="24"/>
          <w:szCs w:val="24"/>
          <w:lang w:val="ru-RU"/>
        </w:rPr>
        <w:t>», преподаватель класса кантеле ДМШ №1 им. Г. Синисало, руководитель Ансамбля кантелистов  ДМШ №1 им. Г. Синисало;</w:t>
      </w:r>
    </w:p>
    <w:p>
      <w:pPr>
        <w:pStyle w:val="Standard"/>
        <w:numPr>
          <w:ilvl w:val="0"/>
          <w:numId w:val="6"/>
        </w:numPr>
        <w:spacing w:before="0" w:after="0"/>
        <w:ind w:left="158" w:right="0" w:hanging="15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Козлов Денис Александрович (89114021718) - координатор «Кантеле </w:t>
      </w:r>
      <w:r>
        <w:rPr>
          <w:sz w:val="24"/>
          <w:szCs w:val="24"/>
          <w:lang w:val="en-US"/>
        </w:rPr>
        <w:t>Open</w:t>
      </w:r>
      <w:r>
        <w:rPr>
          <w:sz w:val="24"/>
          <w:szCs w:val="24"/>
          <w:lang w:val="ru-RU"/>
        </w:rPr>
        <w:t>», преподаватель ДМШ №1 им. Г. Синисало</w:t>
      </w:r>
    </w:p>
    <w:p>
      <w:pPr>
        <w:pStyle w:val="Standard"/>
        <w:numPr>
          <w:ilvl w:val="0"/>
          <w:numId w:val="7"/>
        </w:numPr>
        <w:spacing w:before="0" w:after="0"/>
        <w:ind w:left="158" w:right="0" w:hanging="15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Мотина Наталия Сергеевна (</w:t>
      </w:r>
      <w:r>
        <w:rPr>
          <w:sz w:val="24"/>
          <w:szCs w:val="24"/>
          <w:lang w:val="ru-RU"/>
        </w:rPr>
        <w:t>89535360141</w:t>
      </w:r>
      <w:r>
        <w:rPr>
          <w:sz w:val="24"/>
          <w:szCs w:val="24"/>
          <w:lang w:val="ru-RU"/>
        </w:rPr>
        <w:t xml:space="preserve">) - координатор «Кантеле </w:t>
      </w:r>
      <w:r>
        <w:rPr>
          <w:sz w:val="24"/>
          <w:szCs w:val="24"/>
          <w:lang w:val="en-US"/>
        </w:rPr>
        <w:t>Open</w:t>
      </w:r>
      <w:r>
        <w:rPr>
          <w:sz w:val="24"/>
          <w:szCs w:val="24"/>
          <w:lang w:val="ru-RU"/>
        </w:rPr>
        <w:t>», преподаватель ДМШ №1 им. Г. Синисало.</w:t>
      </w:r>
    </w:p>
    <w:p>
      <w:pPr>
        <w:pStyle w:val="Standard"/>
        <w:numPr>
          <w:ilvl w:val="0"/>
          <w:numId w:val="0"/>
        </w:numPr>
        <w:spacing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180" w:right="0" w:hanging="0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/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/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/>
      </w:r>
    </w:p>
    <w:p>
      <w:pPr>
        <w:pStyle w:val="Standard"/>
        <w:jc w:val="right"/>
        <w:rPr>
          <w:rStyle w:val="Style15"/>
          <w:b/>
          <w:b/>
          <w:bCs/>
          <w:sz w:val="24"/>
          <w:szCs w:val="24"/>
          <w:lang w:val="ru-RU"/>
        </w:rPr>
      </w:pPr>
      <w:r>
        <w:rPr/>
      </w:r>
    </w:p>
    <w:p>
      <w:pPr>
        <w:pStyle w:val="Standard"/>
        <w:jc w:val="right"/>
        <w:rPr/>
      </w:pPr>
      <w:r>
        <w:rPr>
          <w:rStyle w:val="Style15"/>
          <w:b/>
          <w:bCs/>
          <w:sz w:val="24"/>
          <w:szCs w:val="24"/>
          <w:lang w:val="ru-RU"/>
        </w:rPr>
        <w:t>Приложение №1</w:t>
      </w:r>
    </w:p>
    <w:p>
      <w:pPr>
        <w:pStyle w:val="Standard"/>
        <w:jc w:val="both"/>
        <w:rPr>
          <w:rStyle w:val="Style15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Style15"/>
          <w:b/>
          <w:bCs/>
          <w:lang w:val="ru-RU"/>
        </w:rPr>
        <w:t>ЗАЯВКА</w:t>
      </w:r>
    </w:p>
    <w:p>
      <w:pPr>
        <w:pStyle w:val="Normal"/>
        <w:jc w:val="center"/>
        <w:rPr/>
      </w:pPr>
      <w:r>
        <w:rPr>
          <w:rStyle w:val="Style15"/>
          <w:lang w:val="ru-RU"/>
        </w:rPr>
        <w:t>для участия в творческом проекте «</w:t>
      </w:r>
      <w:r>
        <w:rPr>
          <w:rStyle w:val="Style15"/>
          <w:lang w:val="es-ES_tradnl"/>
        </w:rPr>
        <w:t>Кантеле Open</w:t>
      </w:r>
      <w:r>
        <w:rPr>
          <w:rStyle w:val="Style15"/>
          <w:lang w:val="ru-RU"/>
        </w:rPr>
        <w:t>» с 17 по 21 июня 2024 года</w:t>
      </w:r>
    </w:p>
    <w:p>
      <w:pPr>
        <w:pStyle w:val="Normal"/>
        <w:jc w:val="center"/>
        <w:rPr>
          <w:rStyle w:val="Style15"/>
        </w:rPr>
      </w:pPr>
      <w:hyperlink r:id="rId3">
        <w:r>
          <w:rPr/>
          <w:t>kantele-open@yandex.ru</w:t>
        </w:r>
      </w:hyperlink>
      <w:r>
        <w:rPr>
          <w:rStyle w:val="Style15"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09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030"/>
        <w:gridCol w:w="5062"/>
      </w:tblGrid>
      <w:tr>
        <w:trPr>
          <w:trHeight w:val="6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5"/>
                <w:shd w:fill="auto" w:val="clear"/>
                <w:lang w:val="ru-RU"/>
              </w:rPr>
              <w:t>ФИО участника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5"/>
                <w:shd w:fill="auto" w:val="clear"/>
                <w:lang w:val="ru-RU"/>
              </w:rPr>
              <w:t xml:space="preserve">Дата рождения участника, возраст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Style15"/>
                <w:shd w:fill="auto" w:val="clear"/>
                <w:lang w:val="ru-RU"/>
              </w:rPr>
              <w:t>ФИО преподавателя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5"/>
                <w:shd w:fill="auto" w:val="clear"/>
                <w:lang w:val="ru-RU"/>
              </w:rPr>
              <w:t>Наличие инструмента кантеле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shd w:fill="auto" w:val="clear"/>
              </w:rPr>
            </w:pPr>
            <w:r>
              <w:rPr>
                <w:rStyle w:val="Style15"/>
                <w:shd w:fill="auto" w:val="clear"/>
                <w:lang w:val="ru-RU"/>
              </w:rPr>
              <w:t>Населенный пункт, учебное заведение (при наличии)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Style15"/>
                <w:i/>
                <w:iCs/>
                <w:shd w:fill="auto" w:val="clear"/>
                <w:lang w:val="ru-RU"/>
              </w:rPr>
              <w:t>(Например, г. Петрозаводск, МОУ  ДО «Детская музыкальная школа №1 им. Г. Синисало»)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6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280" w:after="280"/>
              <w:rPr>
                <w:rStyle w:val="Style15"/>
                <w:shd w:fill="auto" w:val="clear"/>
              </w:rPr>
            </w:pPr>
            <w:r>
              <w:rPr>
                <w:rStyle w:val="Style15"/>
                <w:shd w:fill="auto" w:val="clear"/>
                <w:lang w:val="ru-RU"/>
              </w:rPr>
              <w:t xml:space="preserve">Контактное лицо: </w:t>
            </w:r>
          </w:p>
          <w:p>
            <w:pPr>
              <w:pStyle w:val="Style22"/>
              <w:widowControl w:val="false"/>
              <w:bidi w:val="0"/>
              <w:spacing w:before="280" w:after="280"/>
              <w:ind w:left="0" w:right="0" w:hanging="0"/>
              <w:jc w:val="left"/>
              <w:rPr/>
            </w:pPr>
            <w:r>
              <w:rPr>
                <w:rStyle w:val="Style15"/>
                <w:shd w:fill="auto" w:val="clear"/>
                <w:lang w:val="ru-RU"/>
              </w:rPr>
              <w:t xml:space="preserve">Ф.И.О., мобильный телефон, </w:t>
            </w:r>
            <w:r>
              <w:rPr>
                <w:rStyle w:val="Style15"/>
                <w:shd w:fill="auto" w:val="clear"/>
                <w:lang w:val="en-US"/>
              </w:rPr>
              <w:t>e</w:t>
            </w:r>
            <w:r>
              <w:rPr>
                <w:rStyle w:val="Style15"/>
                <w:shd w:fill="auto" w:val="clear"/>
                <w:lang w:val="ru-RU"/>
              </w:rPr>
              <w:t>-mail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shd w:fill="auto" w:val="clear"/>
              </w:rPr>
            </w:pPr>
            <w:r>
              <w:rPr>
                <w:rStyle w:val="Style15"/>
                <w:shd w:fill="auto" w:val="clear"/>
                <w:lang w:val="ru-RU"/>
              </w:rPr>
              <w:t xml:space="preserve">Краткие сведения о себе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Style w:val="Style15"/>
                <w:shd w:fill="auto" w:val="clear"/>
                <w:lang w:val="ru-RU"/>
              </w:rPr>
              <w:t>(в свободной форме)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spacing w:lineRule="auto" w:line="360"/>
        <w:ind w:left="180" w:right="0" w:hanging="0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360"/>
        <w:ind w:left="180" w:right="0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849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 Neue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85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szCs w:val="20"/>
        <w:w w:val="100"/>
        <w:emboss w:val="false"/>
        <w:imprint w:val="fals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89" w:hanging="189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58" w:hanging="158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0"/>
    <w:lvlOverride w:ilvl="1">
      <w:lvl w:ilvl="1">
        <w:start w:val="1"/>
        <w:numFmt w:val="bullet"/>
        <w:lvlText w:val="-"/>
        <w:lvlJc w:val="left"/>
        <w:pPr>
          <w:tabs>
            <w:tab w:val="num" w:pos="0"/>
          </w:tabs>
          <w:ind w:left="7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/>
    <w:lvlOverride w:ilvl="2">
      <w:lvl w:ilvl="2">
        <w:start w:val="1"/>
        <w:numFmt w:val="bullet"/>
        <w:lvlText w:val="-"/>
        <w:lvlJc w:val="left"/>
        <w:pPr>
          <w:tabs>
            <w:tab w:val="num" w:pos="0"/>
          </w:tabs>
          <w:ind w:left="13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/>
    <w:lvlOverride w:ilvl="3">
      <w:lvl w:ilvl="3">
        <w:start w:val="1"/>
        <w:numFmt w:val="bullet"/>
        <w:lvlText w:val="-"/>
        <w:lvlJc w:val="left"/>
        <w:pPr>
          <w:tabs>
            <w:tab w:val="num" w:pos="0"/>
          </w:tabs>
          <w:ind w:left="19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/>
    <w:lvlOverride w:ilvl="4">
      <w:lvl w:ilvl="4">
        <w:start w:val="1"/>
        <w:numFmt w:val="bullet"/>
        <w:lvlText w:val="-"/>
        <w:lvlJc w:val="left"/>
        <w:pPr>
          <w:tabs>
            <w:tab w:val="num" w:pos="0"/>
          </w:tabs>
          <w:ind w:left="25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/>
    <w:lvlOverride w:ilvl="5">
      <w:lvl w:ilvl="5">
        <w:start w:val="1"/>
        <w:numFmt w:val="bullet"/>
        <w:lvlText w:val="-"/>
        <w:lvlJc w:val="left"/>
        <w:pPr>
          <w:tabs>
            <w:tab w:val="num" w:pos="0"/>
          </w:tabs>
          <w:ind w:left="31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/>
    <w:lvlOverride w:ilvl="6">
      <w:lvl w:ilvl="6">
        <w:start w:val="1"/>
        <w:numFmt w:val="bullet"/>
        <w:lvlText w:val="-"/>
        <w:lvlJc w:val="left"/>
        <w:pPr>
          <w:tabs>
            <w:tab w:val="num" w:pos="0"/>
          </w:tabs>
          <w:ind w:left="37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/>
    <w:lvlOverride w:ilvl="7">
      <w:lvl w:ilvl="7">
        <w:start w:val="1"/>
        <w:numFmt w:val="bullet"/>
        <w:lvlText w:val="-"/>
        <w:lvlJc w:val="left"/>
        <w:pPr>
          <w:tabs>
            <w:tab w:val="num" w:pos="0"/>
          </w:tabs>
          <w:ind w:left="43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/>
    <w:lvlOverride w:ilvl="8">
      <w:lvl w:ilvl="8">
        <w:start w:val="1"/>
        <w:numFmt w:val="bullet"/>
        <w:lvlText w:val="-"/>
        <w:lvlJc w:val="left"/>
        <w:pPr>
          <w:tabs>
            <w:tab w:val="num" w:pos="0"/>
          </w:tabs>
          <w:ind w:left="49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7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0"/>
    <w:lvlOverride w:ilvl="1">
      <w:lvl w:ilvl="1">
        <w:start w:val="1"/>
        <w:numFmt w:val="bullet"/>
        <w:lvlText w:val="-"/>
        <w:lvlJc w:val="left"/>
        <w:pPr>
          <w:tabs>
            <w:tab w:val="num" w:pos="0"/>
          </w:tabs>
          <w:ind w:left="7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/>
    <w:lvlOverride w:ilvl="2">
      <w:lvl w:ilvl="2">
        <w:start w:val="1"/>
        <w:numFmt w:val="bullet"/>
        <w:lvlText w:val="-"/>
        <w:lvlJc w:val="left"/>
        <w:pPr>
          <w:tabs>
            <w:tab w:val="num" w:pos="0"/>
          </w:tabs>
          <w:ind w:left="13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/>
    <w:lvlOverride w:ilvl="3">
      <w:lvl w:ilvl="3">
        <w:start w:val="1"/>
        <w:numFmt w:val="bullet"/>
        <w:lvlText w:val="-"/>
        <w:lvlJc w:val="left"/>
        <w:pPr>
          <w:tabs>
            <w:tab w:val="num" w:pos="0"/>
          </w:tabs>
          <w:ind w:left="19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/>
    <w:lvlOverride w:ilvl="4">
      <w:lvl w:ilvl="4">
        <w:start w:val="1"/>
        <w:numFmt w:val="bullet"/>
        <w:lvlText w:val="-"/>
        <w:lvlJc w:val="left"/>
        <w:pPr>
          <w:tabs>
            <w:tab w:val="num" w:pos="0"/>
          </w:tabs>
          <w:ind w:left="25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/>
    <w:lvlOverride w:ilvl="5">
      <w:lvl w:ilvl="5">
        <w:start w:val="1"/>
        <w:numFmt w:val="bullet"/>
        <w:lvlText w:val="-"/>
        <w:lvlJc w:val="left"/>
        <w:pPr>
          <w:tabs>
            <w:tab w:val="num" w:pos="0"/>
          </w:tabs>
          <w:ind w:left="31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/>
    <w:lvlOverride w:ilvl="6">
      <w:lvl w:ilvl="6">
        <w:start w:val="1"/>
        <w:numFmt w:val="bullet"/>
        <w:lvlText w:val="-"/>
        <w:lvlJc w:val="left"/>
        <w:pPr>
          <w:tabs>
            <w:tab w:val="num" w:pos="0"/>
          </w:tabs>
          <w:ind w:left="37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/>
    <w:lvlOverride w:ilvl="7">
      <w:lvl w:ilvl="7">
        <w:start w:val="1"/>
        <w:numFmt w:val="bullet"/>
        <w:lvlText w:val="-"/>
        <w:lvlJc w:val="left"/>
        <w:pPr>
          <w:tabs>
            <w:tab w:val="num" w:pos="0"/>
          </w:tabs>
          <w:ind w:left="43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/>
    <w:lvlOverride w:ilvl="8">
      <w:lvl w:ilvl="8">
        <w:start w:val="1"/>
        <w:numFmt w:val="bullet"/>
        <w:lvlText w:val="-"/>
        <w:lvlJc w:val="left"/>
        <w:pPr>
          <w:tabs>
            <w:tab w:val="num" w:pos="0"/>
          </w:tabs>
          <w:ind w:left="4958" w:hanging="158"/>
        </w:pPr>
        <w:rPr>
          <w:rFonts w:ascii="OpenSymbol" w:hAnsi="OpenSymbol" w:cs="OpenSymbol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Style14">
    <w:name w:val="Интернет-ссылка"/>
    <w:rPr>
      <w:u w:val="single" w:color="FFFFFF"/>
    </w:rPr>
  </w:style>
  <w:style w:type="character" w:styleId="Style15">
    <w:name w:val="Нет"/>
    <w:qFormat/>
    <w:rPr/>
  </w:style>
  <w:style w:type="character" w:styleId="Hyperlink0">
    <w:name w:val="Hyperlink.0"/>
    <w:basedOn w:val="Style15"/>
    <w:qFormat/>
    <w:rPr>
      <w:outline w:val="false"/>
      <w:color w:val="0000FF"/>
      <w:sz w:val="24"/>
      <w:szCs w:val="24"/>
      <w:u w:val="single" w:color="0000FF"/>
      <w:shd w:fill="FFFFFF" w:val="clear"/>
      <w14:textFill>
        <w14:solidFill>
          <w14:srgbClr w14:val="0000FF"/>
        </w14:solidFill>
      </w14:textFill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ы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0"/>
      <w:sz w:val="20"/>
      <w:szCs w:val="20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Style22">
    <w:name w:val="Обычный (веб)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280" w:afterAutospacing="0" w:after="28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4"/>
      <w:sz w:val="24"/>
      <w:szCs w:val="24"/>
      <w:u w:val="none" w:color="00000A"/>
      <w:shd w:fill="auto" w:val="clear"/>
      <w:vertAlign w:val="baseline"/>
      <w:lang w:val="ru-RU" w:eastAsia="zh-CN" w:bidi="hi-IN"/>
      <w14:textFill>
        <w14:solidFill>
          <w14:srgbClr w14:val="00000A"/>
        </w14:solidFill>
      </w14:textFill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yle23"/>
    <w:pPr/>
    <w:rPr/>
  </w:style>
  <w:style w:type="paragraph" w:styleId="Style25">
    <w:name w:val="Footer"/>
    <w:basedOn w:val="Style23"/>
    <w:pPr/>
    <w:rPr/>
  </w:style>
  <w:style w:type="numbering" w:styleId="NoList" w:default="1">
    <w:name w:val="No List"/>
    <w:qFormat/>
  </w:style>
  <w:style w:type="numbering" w:styleId="1">
    <w:name w:val="Импортированный стиль 1"/>
    <w:qFormat/>
  </w:style>
  <w:style w:type="numbering" w:styleId="Style26">
    <w:name w:val="Пункты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tele-open@yandex.ru" TargetMode="External"/><Relationship Id="rId3" Type="http://schemas.openxmlformats.org/officeDocument/2006/relationships/hyperlink" Target="mailto:kantele-open@yandex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</TotalTime>
  <Application>LibreOffice/7.3.7.2$Windows_X86_64 LibreOffice_project/e114eadc50a9ff8d8c8a0567d6da8f454beeb84f</Application>
  <AppVersion>15.0000</AppVersion>
  <Pages>3</Pages>
  <Words>536</Words>
  <Characters>3586</Characters>
  <CharactersWithSpaces>4085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2024-06-02T08:00:13Z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