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7"/>
        <w:numPr>
          <w:ilvl w:val="0"/>
          <w:numId w:val="0"/>
        </w:num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767"/>
        <w:pBdr/>
        <w:spacing/>
        <w:ind/>
        <w:jc w:val="center"/>
        <w:rPr/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Эксперты регионального Роскадастра напоминают о возможностях платформы ФГИС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ЕЦП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НСПД</w:t>
      </w:r>
      <w:r/>
    </w:p>
    <w:p>
      <w:pPr>
        <w:pStyle w:val="687"/>
        <w:numPr>
          <w:ilvl w:val="0"/>
          <w:numId w:val="0"/>
        </w:numPr>
        <w:pBdr/>
        <w:shd w:val="clear" w:color="auto" w:fill="ffffff"/>
        <w:spacing/>
        <w:ind w:firstLine="0"/>
        <w:jc w:val="both"/>
        <w:outlineLvl w:val="0"/>
        <w:rPr/>
      </w:pPr>
      <w:r/>
      <w:r/>
    </w:p>
    <w:p>
      <w:pPr>
        <w:pStyle w:val="687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687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Федеральная государственная информационная система «Единая цифровая платформа «Национальная система пространственных дан</w:t>
      </w:r>
      <w:r>
        <w:rPr>
          <w:rFonts w:ascii="Segoe UI" w:hAnsi="Segoe UI" w:cs="Segoe UI"/>
        </w:rPr>
        <w:t xml:space="preserve">ных» (ФГИС ЕЦП НСПД) является современным отечественным геоинформационным решением, предназначенным для обработки пространственных данных, поступающих на платформу от федеральных и региональных информационных систем в рамках информационного взаимодействия.</w:t>
      </w:r>
      <w:r/>
    </w:p>
    <w:p>
      <w:pPr>
        <w:pStyle w:val="687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687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Платформа обладает широким спектром функций, позволяющих эффективно управлять информацией о земле и объектах недвижимости:</w:t>
      </w:r>
      <w:r/>
    </w:p>
    <w:p>
      <w:pPr>
        <w:pStyle w:val="687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687"/>
        <w:numPr>
          <w:ilvl w:val="0"/>
          <w:numId w:val="1"/>
        </w:numPr>
        <w:pBdr/>
        <w:shd w:val="clear" w:color="auto" w:fill="ffffff"/>
        <w:spacing/>
        <w:ind/>
        <w:jc w:val="both"/>
        <w:outlineLvl w:val="0"/>
        <w:rPr/>
      </w:pPr>
      <w:r>
        <w:rPr>
          <w:rFonts w:ascii="Segoe UI" w:hAnsi="Segoe UI" w:cs="Segoe UI"/>
        </w:rPr>
        <w:t xml:space="preserve">Полное информирование о характеристиках земельных участков — как по кадастровому номеру, так и по заданным координатам;</w:t>
      </w:r>
      <w:r/>
    </w:p>
    <w:p>
      <w:pPr>
        <w:pStyle w:val="687"/>
        <w:numPr>
          <w:ilvl w:val="0"/>
          <w:numId w:val="1"/>
        </w:num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</w:rPr>
        <w:t xml:space="preserve">Повышение эффективности использования земель и объектов недвижимости благодаря применению аналитических инструментов;</w:t>
      </w:r>
      <w:r>
        <w:rPr>
          <w:rFonts w:ascii="Segoe UI" w:hAnsi="Segoe UI" w:cs="Segoe UI"/>
          <w:highlight w:val="none"/>
        </w:rPr>
      </w:r>
    </w:p>
    <w:p>
      <w:pPr>
        <w:pStyle w:val="687"/>
        <w:numPr>
          <w:ilvl w:val="0"/>
          <w:numId w:val="1"/>
        </w:numPr>
        <w:pBdr/>
        <w:shd w:val="clear" w:color="auto" w:fill="ffffff"/>
        <w:spacing/>
        <w:ind/>
        <w:jc w:val="both"/>
        <w:outlineLvl w:val="0"/>
        <w:rPr/>
      </w:pPr>
      <w:r>
        <w:rPr>
          <w:rFonts w:ascii="Segoe UI" w:hAnsi="Segoe UI" w:cs="Segoe UI"/>
        </w:rPr>
        <w:t xml:space="preserve">Доступность разнообразных картографических слоев.</w:t>
      </w:r>
      <w:r/>
    </w:p>
    <w:p>
      <w:pPr>
        <w:pStyle w:val="687"/>
        <w:numPr>
          <w:ilvl w:val="0"/>
          <w:numId w:val="0"/>
        </w:numPr>
        <w:pBdr/>
        <w:shd w:val="clear" w:color="auto" w:fill="ffffff"/>
        <w:spacing/>
        <w:ind w:firstLine="0"/>
        <w:jc w:val="both"/>
        <w:outlineLvl w:val="0"/>
        <w:rPr/>
      </w:pPr>
      <w:r/>
      <w:r/>
    </w:p>
    <w:p>
      <w:pPr>
        <w:pStyle w:val="687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ФГИС ЕЦП НСПД предлагает следующие сервисы:</w:t>
      </w:r>
      <w:r/>
    </w:p>
    <w:p>
      <w:pPr>
        <w:pStyle w:val="687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687"/>
        <w:numPr>
          <w:ilvl w:val="0"/>
          <w:numId w:val="2"/>
        </w:numPr>
        <w:pBdr/>
        <w:shd w:val="clear" w:color="auto" w:fill="ffffff"/>
        <w:spacing/>
        <w:ind/>
        <w:jc w:val="both"/>
        <w:outlineLvl w:val="0"/>
        <w:rPr/>
      </w:pPr>
      <w:r>
        <w:rPr>
          <w:rFonts w:ascii="Segoe UI" w:hAnsi="Segoe UI" w:cs="Segoe UI"/>
        </w:rPr>
        <w:t xml:space="preserve">Получить сведения о земельных участках, находящихся в государственной или муниципальной собственности;</w:t>
      </w:r>
      <w:r/>
    </w:p>
    <w:p>
      <w:pPr>
        <w:pStyle w:val="687"/>
        <w:numPr>
          <w:ilvl w:val="0"/>
          <w:numId w:val="2"/>
        </w:numPr>
        <w:pBdr/>
        <w:shd w:val="clear" w:color="auto" w:fill="ffffff"/>
        <w:spacing/>
        <w:ind/>
        <w:jc w:val="both"/>
        <w:outlineLvl w:val="0"/>
        <w:rPr/>
      </w:pPr>
      <w:r>
        <w:rPr>
          <w:rFonts w:ascii="Segoe UI" w:hAnsi="Segoe UI" w:cs="Segoe UI"/>
        </w:rPr>
        <w:t xml:space="preserve">Следить за изменениями характеристик объектов недвижимости;</w:t>
      </w:r>
      <w:r/>
    </w:p>
    <w:p>
      <w:pPr>
        <w:pStyle w:val="687"/>
        <w:numPr>
          <w:ilvl w:val="0"/>
          <w:numId w:val="2"/>
        </w:numPr>
        <w:pBdr/>
        <w:shd w:val="clear" w:color="auto" w:fill="ffffff"/>
        <w:spacing/>
        <w:ind/>
        <w:jc w:val="both"/>
        <w:outlineLvl w:val="0"/>
        <w:rPr/>
      </w:pPr>
      <w:r>
        <w:rPr>
          <w:rFonts w:ascii="Segoe UI" w:hAnsi="Segoe UI" w:cs="Segoe UI"/>
        </w:rPr>
        <w:t xml:space="preserve">Разработать схемы для индивидуального жилищного строительства;</w:t>
      </w:r>
      <w:r/>
    </w:p>
    <w:p>
      <w:pPr>
        <w:pStyle w:val="687"/>
        <w:numPr>
          <w:ilvl w:val="0"/>
          <w:numId w:val="2"/>
        </w:numPr>
        <w:pBdr/>
        <w:shd w:val="clear" w:color="auto" w:fill="ffffff"/>
        <w:spacing/>
        <w:ind/>
        <w:jc w:val="both"/>
        <w:outlineLvl w:val="0"/>
        <w:rPr/>
      </w:pPr>
      <w:r>
        <w:rPr>
          <w:rFonts w:ascii="Segoe UI" w:hAnsi="Segoe UI" w:cs="Segoe UI"/>
        </w:rPr>
        <w:t xml:space="preserve">Найти земельные участки, пригодные для развития туристической деятельности.</w:t>
      </w:r>
      <w:r/>
    </w:p>
    <w:p>
      <w:pPr>
        <w:pStyle w:val="687"/>
        <w:numPr>
          <w:ilvl w:val="0"/>
          <w:numId w:val="0"/>
        </w:numPr>
        <w:pBdr/>
        <w:shd w:val="clear" w:color="auto" w:fill="ffffff"/>
        <w:spacing/>
        <w:ind w:firstLine="0" w:left="1276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</w:p>
    <w:p>
      <w:pPr>
        <w:pStyle w:val="687"/>
        <w:numPr>
          <w:ilvl w:val="0"/>
          <w:numId w:val="0"/>
        </w:numPr>
        <w:pBdr/>
        <w:shd w:val="clear" w:color="auto" w:fill="ffffff"/>
        <w:spacing/>
        <w:ind w:firstLine="708" w:left="0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</w:rPr>
        <w:t xml:space="preserve">В 2026 году на территории Республики Карелия будет проведен очередной тур государственной кадастровой оценки всех земельных участков. Впервые в процессе расчета кадастровой стоимости будет использоваться ФГИС ЕЦП НСПД.</w:t>
      </w:r>
      <w:r>
        <w:rPr>
          <w:rFonts w:ascii="Segoe UI" w:hAnsi="Segoe UI" w:cs="Segoe UI"/>
          <w:highlight w:val="none"/>
        </w:rPr>
      </w:r>
    </w:p>
    <w:p>
      <w:pPr>
        <w:pStyle w:val="687"/>
        <w:numPr>
          <w:ilvl w:val="0"/>
          <w:numId w:val="0"/>
        </w:numPr>
        <w:pBdr/>
        <w:shd w:val="clear" w:color="auto" w:fill="ffffff"/>
        <w:spacing/>
        <w:ind w:firstLine="708" w:left="0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</w:p>
    <w:p>
      <w:pPr>
        <w:pStyle w:val="687"/>
        <w:numPr>
          <w:ilvl w:val="0"/>
          <w:numId w:val="0"/>
        </w:numPr>
        <w:pBdr/>
        <w:shd w:val="clear" w:color="auto" w:fill="ffffff"/>
        <w:spacing/>
        <w:ind w:firstLine="708" w:left="0"/>
        <w:jc w:val="both"/>
        <w:outlineLvl w:val="0"/>
        <w:rPr>
          <w:highlight w:val="none"/>
        </w:rPr>
      </w:pPr>
      <w:r>
        <w:rPr>
          <w:rFonts w:ascii="Segoe UI" w:hAnsi="Segoe UI" w:cs="Segoe UI"/>
        </w:rPr>
        <w:t xml:space="preserve">Переход на новую систему оценки и внедрение цифровых технологий позволяет сделать процесс определения кадастровой стоимости более прозрачным и объективным.</w:t>
      </w:r>
      <w:r>
        <w:rPr>
          <w:highlight w:val="none"/>
        </w:rPr>
      </w:r>
    </w:p>
    <w:p>
      <w:pPr>
        <w:pStyle w:val="687"/>
        <w:numPr>
          <w:ilvl w:val="0"/>
          <w:numId w:val="0"/>
        </w:numPr>
        <w:pBdr/>
        <w:shd w:val="clear" w:color="auto" w:fill="ffffff"/>
        <w:spacing/>
        <w:ind w:firstLine="708" w:left="0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</w:p>
    <w:p>
      <w:pPr>
        <w:pStyle w:val="687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</w:rPr>
        <w:t xml:space="preserve">Узнать больше о функциях и возможностях «Национальной системы пространственных данных»</w:t>
      </w:r>
      <w:r>
        <w:rPr>
          <w:rFonts w:ascii="Segoe UI" w:hAnsi="Segoe UI" w:cs="Segoe UI"/>
        </w:rPr>
        <w:t xml:space="preserve"> можно </w:t>
      </w:r>
      <w:r>
        <w:rPr>
          <w:rFonts w:ascii="Segoe UI" w:hAnsi="Segoe UI" w:cs="Segoe UI"/>
        </w:rPr>
        <w:t xml:space="preserve">на</w:t>
      </w:r>
      <w:r>
        <w:rPr>
          <w:rFonts w:ascii="Segoe UI" w:hAnsi="Segoe UI" w:cs="Segoe UI"/>
        </w:rPr>
        <w:t xml:space="preserve"> официальн</w:t>
      </w:r>
      <w:r>
        <w:rPr>
          <w:rFonts w:ascii="Segoe UI" w:hAnsi="Segoe UI" w:cs="Segoe UI"/>
        </w:rPr>
        <w:t xml:space="preserve">ом</w:t>
      </w:r>
      <w:r>
        <w:rPr>
          <w:rFonts w:ascii="Segoe UI" w:hAnsi="Segoe UI" w:cs="Segoe UI"/>
        </w:rPr>
        <w:t xml:space="preserve"> сайт</w:t>
      </w:r>
      <w:r>
        <w:rPr>
          <w:rFonts w:ascii="Segoe UI" w:hAnsi="Segoe UI" w:cs="Segoe UI"/>
        </w:rPr>
        <w:t xml:space="preserve">е</w:t>
      </w:r>
      <w:r>
        <w:rPr>
          <w:rFonts w:ascii="Segoe UI" w:hAnsi="Segoe UI" w:cs="Segoe UI"/>
        </w:rPr>
        <w:t xml:space="preserve">: nspd.gov.ru.</w:t>
      </w:r>
      <w:r>
        <w:rPr>
          <w:rFonts w:ascii="Segoe UI" w:hAnsi="Segoe UI" w:cs="Segoe UI"/>
          <w:highlight w:val="none"/>
        </w:rPr>
      </w:r>
    </w:p>
    <w:p>
      <w:pPr>
        <w:pStyle w:val="687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</w:p>
    <w:p>
      <w:pPr>
        <w:pStyle w:val="687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7"/>
        <w:numPr>
          <w:ilvl w:val="0"/>
          <w:numId w:val="0"/>
        </w:numPr>
        <w:pBdr/>
        <w:shd w:val="clear" w:color="auto" w:fill="ffffff"/>
        <w:spacing/>
        <w:ind w:firstLine="0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7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7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687"/>
        <w:numPr>
          <w:ilvl w:val="0"/>
          <w:numId w:val="0"/>
        </w:numPr>
        <w:pBdr/>
        <w:shd w:val="clear" w:color="auto" w:fill="ffffff"/>
        <w:spacing w:line="276" w:lineRule="auto"/>
        <w:ind w:firstLine="567"/>
        <w:jc w:val="right"/>
        <w:outlineLvl w:val="0"/>
        <w:rPr>
          <w:rStyle w:val="732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32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32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765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7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7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7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7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7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1276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99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716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3436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15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876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596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31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7036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1276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99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716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3436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15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876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596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31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7036"/>
      </w:pPr>
      <w:rPr>
        <w:rFonts w:hint="default" w:ascii="Wingdings" w:hAnsi="Wingdings" w:cs="Wingdings"/>
      </w:rPr>
      <w:start w:val="1"/>
      <w:suff w:val="tab"/>
    </w:lvl>
  </w:abstractNum>
  <w:abstractNum w:abstractNumId="2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88">
    <w:name w:val="Heading 1"/>
    <w:basedOn w:val="687"/>
    <w:next w:val="687"/>
    <w:link w:val="69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89">
    <w:name w:val="Heading 2"/>
    <w:basedOn w:val="687"/>
    <w:next w:val="687"/>
    <w:link w:val="69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90">
    <w:name w:val="Heading 3"/>
    <w:basedOn w:val="687"/>
    <w:next w:val="687"/>
    <w:link w:val="70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91">
    <w:name w:val="Heading 4"/>
    <w:basedOn w:val="687"/>
    <w:next w:val="687"/>
    <w:link w:val="70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92">
    <w:name w:val="Heading 5"/>
    <w:basedOn w:val="687"/>
    <w:next w:val="687"/>
    <w:link w:val="70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93">
    <w:name w:val="Heading 6"/>
    <w:basedOn w:val="687"/>
    <w:next w:val="687"/>
    <w:link w:val="70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4">
    <w:name w:val="Heading 7"/>
    <w:basedOn w:val="687"/>
    <w:next w:val="687"/>
    <w:link w:val="70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5">
    <w:name w:val="Heading 8"/>
    <w:basedOn w:val="687"/>
    <w:next w:val="687"/>
    <w:link w:val="705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6">
    <w:name w:val="Heading 9"/>
    <w:basedOn w:val="687"/>
    <w:next w:val="687"/>
    <w:link w:val="706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7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98">
    <w:name w:val="Heading 1 Char"/>
    <w:basedOn w:val="69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9">
    <w:name w:val="Heading 2 Char"/>
    <w:basedOn w:val="69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0">
    <w:name w:val="Heading 3 Char"/>
    <w:basedOn w:val="69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01">
    <w:name w:val="Heading 4 Char"/>
    <w:basedOn w:val="697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2">
    <w:name w:val="Heading 5 Char"/>
    <w:basedOn w:val="69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03">
    <w:name w:val="Heading 6 Char"/>
    <w:basedOn w:val="697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4">
    <w:name w:val="Heading 7 Char"/>
    <w:basedOn w:val="697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5">
    <w:name w:val="Heading 8 Char"/>
    <w:basedOn w:val="697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6">
    <w:name w:val="Heading 9 Char"/>
    <w:basedOn w:val="697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7">
    <w:name w:val="Title Char"/>
    <w:basedOn w:val="697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8">
    <w:name w:val="Subtitle Char"/>
    <w:basedOn w:val="697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9">
    <w:name w:val="Quote Char"/>
    <w:basedOn w:val="697"/>
    <w:link w:val="743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10">
    <w:name w:val="Intense Emphasis"/>
    <w:basedOn w:val="6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1">
    <w:name w:val="Intense Quote Char"/>
    <w:basedOn w:val="697"/>
    <w:link w:val="745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12">
    <w:name w:val="Intense Reference"/>
    <w:basedOn w:val="6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3">
    <w:name w:val="Subtle Emphasis"/>
    <w:basedOn w:val="6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4">
    <w:name w:val="Emphasis"/>
    <w:basedOn w:val="697"/>
    <w:uiPriority w:val="20"/>
    <w:qFormat/>
    <w:pPr>
      <w:pBdr/>
      <w:spacing/>
      <w:ind/>
    </w:pPr>
    <w:rPr>
      <w:i/>
      <w:iCs/>
    </w:rPr>
  </w:style>
  <w:style w:type="character" w:styleId="715">
    <w:name w:val="Strong"/>
    <w:basedOn w:val="697"/>
    <w:uiPriority w:val="22"/>
    <w:qFormat/>
    <w:pPr>
      <w:pBdr/>
      <w:spacing/>
      <w:ind/>
    </w:pPr>
    <w:rPr>
      <w:b/>
      <w:bCs/>
    </w:rPr>
  </w:style>
  <w:style w:type="character" w:styleId="716">
    <w:name w:val="Subtle Reference"/>
    <w:basedOn w:val="6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7">
    <w:name w:val="Book Title"/>
    <w:basedOn w:val="6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8">
    <w:name w:val="Header Char"/>
    <w:basedOn w:val="697"/>
    <w:uiPriority w:val="99"/>
    <w:qFormat/>
    <w:pPr>
      <w:pBdr/>
      <w:spacing/>
      <w:ind/>
    </w:pPr>
  </w:style>
  <w:style w:type="character" w:styleId="719">
    <w:name w:val="Footer Char"/>
    <w:basedOn w:val="697"/>
    <w:uiPriority w:val="99"/>
    <w:qFormat/>
    <w:pPr>
      <w:pBdr/>
      <w:spacing/>
      <w:ind/>
    </w:pPr>
  </w:style>
  <w:style w:type="character" w:styleId="720">
    <w:name w:val="Footnote Text Char"/>
    <w:basedOn w:val="697"/>
    <w:uiPriority w:val="99"/>
    <w:semiHidden/>
    <w:qFormat/>
    <w:pPr>
      <w:pBdr/>
      <w:spacing/>
      <w:ind/>
    </w:pPr>
    <w:rPr>
      <w:sz w:val="20"/>
      <w:szCs w:val="20"/>
    </w:rPr>
  </w:style>
  <w:style w:type="character" w:styleId="721">
    <w:name w:val="Символ сноски"/>
    <w:basedOn w:val="697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22">
    <w:name w:val="footnote reference"/>
    <w:pPr>
      <w:pBdr/>
      <w:spacing/>
      <w:ind/>
    </w:pPr>
    <w:rPr>
      <w:vertAlign w:val="superscript"/>
    </w:rPr>
  </w:style>
  <w:style w:type="character" w:styleId="723">
    <w:name w:val="Endnote Text Char"/>
    <w:basedOn w:val="697"/>
    <w:uiPriority w:val="99"/>
    <w:semiHidden/>
    <w:qFormat/>
    <w:pPr>
      <w:pBdr/>
      <w:spacing/>
      <w:ind/>
    </w:pPr>
    <w:rPr>
      <w:sz w:val="20"/>
      <w:szCs w:val="20"/>
    </w:rPr>
  </w:style>
  <w:style w:type="character" w:styleId="724">
    <w:name w:val="Символ концевой сноски"/>
    <w:basedOn w:val="697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25">
    <w:name w:val="endnote reference"/>
    <w:pPr>
      <w:pBdr/>
      <w:spacing/>
      <w:ind/>
    </w:pPr>
    <w:rPr>
      <w:vertAlign w:val="superscript"/>
    </w:rPr>
  </w:style>
  <w:style w:type="character" w:styleId="726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7">
    <w:name w:val="FollowedHyperlink"/>
    <w:basedOn w:val="6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8">
    <w:name w:val="Основной шрифт абзаца"/>
    <w:uiPriority w:val="1"/>
    <w:unhideWhenUsed/>
    <w:qFormat/>
    <w:pPr>
      <w:pBdr/>
      <w:spacing/>
      <w:ind/>
    </w:pPr>
  </w:style>
  <w:style w:type="character" w:styleId="729">
    <w:name w:val="Верхний колонтитул Знак"/>
    <w:basedOn w:val="728"/>
    <w:link w:val="748"/>
    <w:uiPriority w:val="99"/>
    <w:qFormat/>
    <w:pPr>
      <w:pBdr/>
      <w:spacing/>
      <w:ind/>
    </w:pPr>
  </w:style>
  <w:style w:type="character" w:styleId="730">
    <w:name w:val="Нижний колонтитул Знак"/>
    <w:basedOn w:val="728"/>
    <w:link w:val="749"/>
    <w:uiPriority w:val="99"/>
    <w:qFormat/>
    <w:pPr>
      <w:pBdr/>
      <w:spacing/>
      <w:ind/>
    </w:pPr>
  </w:style>
  <w:style w:type="character" w:styleId="731">
    <w:name w:val="Текст выноски Знак"/>
    <w:link w:val="764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32">
    <w:name w:val="Гиперссылка"/>
    <w:qFormat/>
    <w:pPr>
      <w:pBdr/>
      <w:spacing/>
      <w:ind/>
    </w:pPr>
    <w:rPr>
      <w:color w:val="0000ff"/>
      <w:u w:val="single"/>
    </w:rPr>
  </w:style>
  <w:style w:type="character" w:styleId="733">
    <w:name w:val="Текст Знак"/>
    <w:link w:val="767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34">
    <w:name w:val="Выделение"/>
    <w:uiPriority w:val="20"/>
    <w:qFormat/>
    <w:pPr>
      <w:pBdr/>
      <w:spacing/>
      <w:ind/>
    </w:pPr>
    <w:rPr>
      <w:i/>
      <w:iCs/>
    </w:rPr>
  </w:style>
  <w:style w:type="character" w:styleId="735">
    <w:name w:val="Line Number"/>
    <w:pPr>
      <w:pBdr/>
      <w:spacing/>
      <w:ind/>
    </w:pPr>
  </w:style>
  <w:style w:type="paragraph" w:styleId="736">
    <w:name w:val="Заголовок"/>
    <w:basedOn w:val="687"/>
    <w:next w:val="737"/>
    <w:qFormat/>
    <w:pPr>
      <w:keepNext w:val="true"/>
      <w:pBdr/>
      <w:spacing w:after="120" w:before="240"/>
      <w:ind/>
    </w:pPr>
    <w:rPr>
      <w:rFonts w:ascii="Times New Roman" w:hAnsi="Times New Roman" w:eastAsia="Tahoma" w:cs="Noto Sans Devanagari"/>
      <w:sz w:val="28"/>
      <w:szCs w:val="28"/>
    </w:rPr>
  </w:style>
  <w:style w:type="paragraph" w:styleId="737">
    <w:name w:val="Body Text"/>
    <w:basedOn w:val="687"/>
    <w:pPr>
      <w:pBdr/>
      <w:spacing w:after="140" w:before="0" w:line="276" w:lineRule="auto"/>
      <w:ind/>
    </w:pPr>
  </w:style>
  <w:style w:type="paragraph" w:styleId="738">
    <w:name w:val="List"/>
    <w:basedOn w:val="737"/>
    <w:pPr>
      <w:pBdr/>
      <w:spacing/>
      <w:ind/>
    </w:pPr>
    <w:rPr>
      <w:rFonts w:ascii="Times New Roman" w:hAnsi="Times New Roman" w:cs="Noto Sans Devanagari"/>
    </w:rPr>
  </w:style>
  <w:style w:type="paragraph" w:styleId="739">
    <w:name w:val="Caption"/>
    <w:basedOn w:val="687"/>
    <w:next w:val="687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40">
    <w:name w:val="Указатель"/>
    <w:basedOn w:val="687"/>
    <w:qFormat/>
    <w:pPr>
      <w:suppressLineNumbers w:val="true"/>
      <w:pBdr/>
      <w:spacing/>
      <w:ind/>
    </w:pPr>
    <w:rPr>
      <w:rFonts w:ascii="Times New Roman" w:hAnsi="Times New Roman" w:cs="Noto Sans Devanagari"/>
    </w:rPr>
  </w:style>
  <w:style w:type="paragraph" w:styleId="741">
    <w:name w:val="Title"/>
    <w:basedOn w:val="687"/>
    <w:next w:val="687"/>
    <w:link w:val="707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42">
    <w:name w:val="Subtitle"/>
    <w:basedOn w:val="687"/>
    <w:next w:val="687"/>
    <w:link w:val="708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43">
    <w:name w:val="Quote"/>
    <w:basedOn w:val="687"/>
    <w:next w:val="687"/>
    <w:link w:val="709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44">
    <w:name w:val="List Paragraph"/>
    <w:basedOn w:val="687"/>
    <w:uiPriority w:val="34"/>
    <w:qFormat/>
    <w:pPr>
      <w:pBdr/>
      <w:spacing w:after="0" w:before="0"/>
      <w:ind w:left="720"/>
      <w:contextualSpacing w:val="true"/>
    </w:pPr>
  </w:style>
  <w:style w:type="paragraph" w:styleId="745">
    <w:name w:val="Intense Quote"/>
    <w:basedOn w:val="687"/>
    <w:next w:val="687"/>
    <w:link w:val="71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46">
    <w:name w:val="No Spacing"/>
    <w:basedOn w:val="687"/>
    <w:uiPriority w:val="1"/>
    <w:qFormat/>
    <w:pPr>
      <w:pBdr/>
      <w:spacing w:after="0" w:before="0" w:line="240" w:lineRule="auto"/>
      <w:ind/>
    </w:pPr>
  </w:style>
  <w:style w:type="paragraph" w:styleId="747">
    <w:name w:val="Колонтитул"/>
    <w:basedOn w:val="687"/>
    <w:qFormat/>
    <w:pPr>
      <w:pBdr/>
      <w:spacing/>
      <w:ind/>
    </w:pPr>
  </w:style>
  <w:style w:type="paragraph" w:styleId="748">
    <w:name w:val="Header"/>
    <w:basedOn w:val="687"/>
    <w:link w:val="729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49">
    <w:name w:val="Footer"/>
    <w:basedOn w:val="687"/>
    <w:link w:val="730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50">
    <w:name w:val="footnote text"/>
    <w:basedOn w:val="687"/>
    <w:link w:val="720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51">
    <w:name w:val="endnote text"/>
    <w:basedOn w:val="687"/>
    <w:link w:val="723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52">
    <w:name w:val="toc 1"/>
    <w:basedOn w:val="687"/>
    <w:next w:val="687"/>
    <w:uiPriority w:val="39"/>
    <w:unhideWhenUsed/>
    <w:pPr>
      <w:pBdr/>
      <w:spacing w:after="100" w:before="0"/>
      <w:ind/>
    </w:pPr>
  </w:style>
  <w:style w:type="paragraph" w:styleId="753">
    <w:name w:val="toc 2"/>
    <w:basedOn w:val="687"/>
    <w:next w:val="687"/>
    <w:uiPriority w:val="39"/>
    <w:unhideWhenUsed/>
    <w:pPr>
      <w:pBdr/>
      <w:spacing w:after="100" w:before="0"/>
      <w:ind w:left="220"/>
    </w:pPr>
  </w:style>
  <w:style w:type="paragraph" w:styleId="754">
    <w:name w:val="toc 3"/>
    <w:basedOn w:val="687"/>
    <w:next w:val="687"/>
    <w:uiPriority w:val="39"/>
    <w:unhideWhenUsed/>
    <w:pPr>
      <w:pBdr/>
      <w:spacing w:after="100" w:before="0"/>
      <w:ind w:left="440"/>
    </w:pPr>
  </w:style>
  <w:style w:type="paragraph" w:styleId="755">
    <w:name w:val="toc 4"/>
    <w:basedOn w:val="687"/>
    <w:next w:val="687"/>
    <w:uiPriority w:val="39"/>
    <w:unhideWhenUsed/>
    <w:pPr>
      <w:pBdr/>
      <w:spacing w:after="100" w:before="0"/>
      <w:ind w:left="660"/>
    </w:pPr>
  </w:style>
  <w:style w:type="paragraph" w:styleId="756">
    <w:name w:val="toc 5"/>
    <w:basedOn w:val="687"/>
    <w:next w:val="687"/>
    <w:uiPriority w:val="39"/>
    <w:unhideWhenUsed/>
    <w:pPr>
      <w:pBdr/>
      <w:spacing w:after="100" w:before="0"/>
      <w:ind w:left="880"/>
    </w:pPr>
  </w:style>
  <w:style w:type="paragraph" w:styleId="757">
    <w:name w:val="toc 6"/>
    <w:basedOn w:val="687"/>
    <w:next w:val="687"/>
    <w:uiPriority w:val="39"/>
    <w:unhideWhenUsed/>
    <w:pPr>
      <w:pBdr/>
      <w:spacing w:after="100" w:before="0"/>
      <w:ind w:left="1100"/>
    </w:pPr>
  </w:style>
  <w:style w:type="paragraph" w:styleId="758">
    <w:name w:val="toc 7"/>
    <w:basedOn w:val="687"/>
    <w:next w:val="687"/>
    <w:uiPriority w:val="39"/>
    <w:unhideWhenUsed/>
    <w:pPr>
      <w:pBdr/>
      <w:spacing w:after="100" w:before="0"/>
      <w:ind w:left="1320"/>
    </w:pPr>
  </w:style>
  <w:style w:type="paragraph" w:styleId="759">
    <w:name w:val="toc 8"/>
    <w:basedOn w:val="687"/>
    <w:next w:val="687"/>
    <w:uiPriority w:val="39"/>
    <w:unhideWhenUsed/>
    <w:pPr>
      <w:pBdr/>
      <w:spacing w:after="100" w:before="0"/>
      <w:ind w:left="1540"/>
    </w:pPr>
  </w:style>
  <w:style w:type="paragraph" w:styleId="760">
    <w:name w:val="toc 9"/>
    <w:basedOn w:val="687"/>
    <w:next w:val="687"/>
    <w:uiPriority w:val="39"/>
    <w:unhideWhenUsed/>
    <w:pPr>
      <w:pBdr/>
      <w:spacing w:after="100" w:before="0"/>
      <w:ind w:left="1760"/>
    </w:pPr>
  </w:style>
  <w:style w:type="paragraph" w:styleId="761">
    <w:name w:val="Index Heading"/>
    <w:basedOn w:val="736"/>
    <w:pPr>
      <w:pBdr/>
      <w:spacing/>
      <w:ind/>
    </w:pPr>
  </w:style>
  <w:style w:type="paragraph" w:styleId="762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63">
    <w:name w:val="table of figures"/>
    <w:basedOn w:val="687"/>
    <w:next w:val="687"/>
    <w:uiPriority w:val="99"/>
    <w:unhideWhenUsed/>
    <w:pPr>
      <w:pBdr/>
      <w:spacing w:after="0" w:afterAutospacing="0" w:before="0"/>
      <w:ind/>
    </w:pPr>
  </w:style>
  <w:style w:type="paragraph" w:styleId="764">
    <w:name w:val="Текст выноски"/>
    <w:basedOn w:val="687"/>
    <w:link w:val="731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65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66">
    <w:name w:val="Абзац списка"/>
    <w:basedOn w:val="687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67">
    <w:name w:val="Текст"/>
    <w:basedOn w:val="687"/>
    <w:link w:val="733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68">
    <w:name w:val="paragraph scxw163741632 bcx0"/>
    <w:basedOn w:val="687"/>
    <w:qFormat/>
    <w:pPr>
      <w:pBdr/>
      <w:spacing w:afterAutospacing="1" w:beforeAutospacing="1"/>
      <w:ind/>
    </w:pPr>
  </w:style>
  <w:style w:type="numbering" w:styleId="769" w:default="1">
    <w:name w:val="No List"/>
    <w:uiPriority w:val="99"/>
    <w:semiHidden/>
    <w:unhideWhenUsed/>
    <w:qFormat/>
    <w:pPr>
      <w:pBdr/>
      <w:spacing/>
      <w:ind/>
    </w:pPr>
  </w:style>
  <w:style w:type="numbering" w:styleId="770">
    <w:name w:val="Нет списка"/>
    <w:uiPriority w:val="99"/>
    <w:semiHidden/>
    <w:unhideWhenUsed/>
    <w:qFormat/>
    <w:pPr>
      <w:pBdr/>
      <w:spacing/>
      <w:ind/>
    </w:pPr>
  </w:style>
  <w:style w:type="table" w:styleId="771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"/>
    <w:basedOn w:val="77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Table Grid Light"/>
    <w:basedOn w:val="771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basedOn w:val="771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77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1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2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3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4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5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6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Обычная таблица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16</cp:revision>
  <dcterms:created xsi:type="dcterms:W3CDTF">2024-06-21T11:13:00Z</dcterms:created>
  <dcterms:modified xsi:type="dcterms:W3CDTF">2026-03-03T13:13:40Z</dcterms:modified>
  <cp:version>786432</cp:version>
</cp:coreProperties>
</file>