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media/image29.png" ContentType="image/png"/>
  <Override PartName="/word/media/image28.png" ContentType="image/png"/>
  <Override PartName="/word/media/image27.png" ContentType="image/png"/>
  <Override PartName="/word/media/image11.png" ContentType="image/png"/>
  <Override PartName="/word/media/image30.jpeg" ContentType="image/jpeg"/>
  <Override PartName="/word/media/image2.png" ContentType="image/png"/>
  <Override PartName="/word/media/image17.png" ContentType="image/png"/>
  <Override PartName="/word/media/image8.png" ContentType="image/png"/>
  <Override PartName="/word/media/image12.png" ContentType="image/png"/>
  <Override PartName="/word/media/image3.png" ContentType="image/png"/>
  <Override PartName="/word/media/image18.png" ContentType="image/png"/>
  <Override PartName="/word/media/image9.png" ContentType="image/png"/>
  <Override PartName="/word/media/image10.jpeg" ContentType="image/jpeg"/>
  <Override PartName="/word/media/image20.png" ContentType="image/png"/>
  <Override PartName="/word/media/image31.png" ContentType="image/png"/>
  <Override PartName="/word/media/image4.png" ContentType="image/png"/>
  <Override PartName="/word/media/image32.png" ContentType="image/png"/>
  <Override PartName="/word/media/image7.png" ContentType="image/png"/>
  <Override PartName="/word/media/image16.png" ContentType="image/png"/>
  <Override PartName="/word/media/image6.png" ContentType="image/png"/>
  <Override PartName="/word/media/image5.png" ContentType="image/png"/>
  <Override PartName="/word/media/image14.png" ContentType="image/png"/>
  <Override PartName="/word/media/image1.png" ContentType="image/png"/>
  <Override PartName="/word/media/image13.png" ContentType="image/png"/>
  <Override PartName="/word/media/image15.jpeg" ContentType="image/jpeg"/>
  <Override PartName="/word/media/image19.png" ContentType="image/png"/>
  <Override PartName="/word/media/image21.png" ContentType="image/png"/>
  <Override PartName="/word/media/image22.png" ContentType="image/png"/>
  <Override PartName="/word/media/image23.png" ContentType="image/png"/>
  <Override PartName="/word/media/image24.png" ContentType="image/png"/>
  <Override PartName="/word/media/image25.png" ContentType="image/png"/>
  <Override PartName="/word/media/image26.png" ContentType="image/png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overflowPunct w:val="false"/>
        <w:ind w:left="5670"/>
        <w:rPr>
          <w:bCs/>
          <w:sz w:val="26"/>
          <w:szCs w:val="26"/>
        </w:rPr>
      </w:pPr>
      <w:bookmarkStart w:id="0" w:name="1._Бланки_ЕГЭ"/>
      <w:bookmarkStart w:id="1" w:name="_bookmark1"/>
      <w:bookmarkEnd w:id="0"/>
      <w:bookmarkEnd w:id="1"/>
      <w:r>
        <w:rPr>
          <w:bCs/>
          <w:sz w:val="26"/>
          <w:szCs w:val="26"/>
        </w:rPr>
        <w:t xml:space="preserve">Приложение № 12 к приказу </w:t>
      </w:r>
    </w:p>
    <w:p>
      <w:pPr>
        <w:pStyle w:val="Normal"/>
        <w:overflowPunct w:val="false"/>
        <w:ind w:left="5670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Министерства образования и спорта Республики Карелия     </w:t>
      </w:r>
      <w:r>
        <w:rPr>
          <w:bCs/>
          <w:sz w:val="24"/>
          <w:szCs w:val="24"/>
        </w:rPr>
        <w:t xml:space="preserve"> </w:t>
      </w:r>
      <w:r>
        <w:rPr>
          <w:rFonts w:cs="Times New Roman" w:ascii="Times New Roman" w:hAnsi="Times New Roman"/>
          <w:bCs/>
          <w:sz w:val="26"/>
          <w:szCs w:val="26"/>
        </w:rPr>
        <w:t>о</w:t>
      </w:r>
      <w:r>
        <w:rPr>
          <w:rFonts w:cs="Times New Roman" w:ascii="Times New Roman" w:hAnsi="Times New Roman"/>
          <w:sz w:val="26"/>
          <w:szCs w:val="26"/>
        </w:rPr>
        <w:t>т 18.02.2026 № 183/МОС-П</w:t>
      </w:r>
    </w:p>
    <w:p>
      <w:pPr>
        <w:pStyle w:val="Normal"/>
        <w:overflowPunct w:val="false"/>
        <w:ind w:firstLine="70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overflowPunct w:val="false"/>
        <w:ind w:firstLine="70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overflowPunct w:val="false"/>
        <w:ind w:firstLine="70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Правила заполнения бланков ЕГЭ</w:t>
      </w:r>
    </w:p>
    <w:p>
      <w:pPr>
        <w:pStyle w:val="Normal"/>
        <w:overflowPunct w:val="false"/>
        <w:ind w:firstLine="70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656" w:leader="none"/>
        </w:tabs>
        <w:overflowPunct w:val="false"/>
        <w:ind w:firstLine="709" w:left="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Бланки</w:t>
      </w:r>
      <w:r>
        <w:rPr>
          <w:b/>
          <w:bCs/>
          <w:spacing w:val="-1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ЕГЭ</w:t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 целях  обеспечения  единых  условий  для  всех  участников  экзаменов при проведении и обработке результатов ЕГЭ используются унифицированные бланки ЕГЭ.</w:t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Комплект бланков ЕГЭ включает в себя бланк регистрации, бланк ответов № 1, бланк ответов № 2 лист 1 и бланк ответов № 2 лист 2. В случае нехватки места для записи ответов на бланках ответов № 2 используются дополнительные бланки ответов № 2.</w:t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 проведении ЕГЭ по математике базового уровня комплект бланков включает в себя только бланк регистрации и бланк ответов № 1. При проведении ЕГЭ по иностранным языкам (устная часть) и КЕГЭ комплект бланков включает только бланк регистрации.</w:t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Бланки ЕГЭ являются машиночитаемыми формами, подлежащими автоматизированной обработке аппаратно-программным комплексом. В процессе автоматизированной обработки бланков ЕГЭ внесенная в поля бланков ЕГЭ информация преобразуется в текст посредством специальных аппаратно-программных средств.</w:t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1"/>
        <w:numPr>
          <w:ilvl w:val="1"/>
          <w:numId w:val="3"/>
        </w:numPr>
        <w:tabs>
          <w:tab w:val="clear" w:pos="709"/>
          <w:tab w:val="left" w:pos="1555" w:leader="none"/>
        </w:tabs>
        <w:ind w:firstLine="709" w:left="0"/>
        <w:jc w:val="both"/>
        <w:rPr/>
      </w:pPr>
      <w:r>
        <w:rPr/>
        <w:t>Описание бланков</w:t>
      </w:r>
      <w:r>
        <w:rPr>
          <w:spacing w:val="-1"/>
        </w:rPr>
        <w:t xml:space="preserve"> </w:t>
      </w:r>
      <w:r>
        <w:rPr/>
        <w:t>ЕГЭ</w:t>
      </w:r>
    </w:p>
    <w:p>
      <w:pPr>
        <w:pStyle w:val="BodyText"/>
        <w:ind w:firstLine="709"/>
        <w:jc w:val="both"/>
        <w:rPr>
          <w:b/>
        </w:rPr>
      </w:pPr>
      <w:r>
        <w:rPr>
          <w:b/>
        </w:rPr>
      </w:r>
    </w:p>
    <w:p>
      <w:pPr>
        <w:pStyle w:val="Heading1"/>
        <w:numPr>
          <w:ilvl w:val="2"/>
          <w:numId w:val="3"/>
        </w:numPr>
        <w:tabs>
          <w:tab w:val="clear" w:pos="709"/>
          <w:tab w:val="left" w:pos="1685" w:leader="none"/>
        </w:tabs>
        <w:ind w:firstLine="709" w:left="0"/>
        <w:jc w:val="both"/>
        <w:rPr/>
      </w:pPr>
      <w:bookmarkStart w:id="2" w:name="_bookmark3"/>
      <w:bookmarkEnd w:id="2"/>
      <w:r>
        <w:rPr/>
        <w:t>Бланк регистрации</w:t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Черно-белый бланк является машиночитаемой формой и состоит из трех частей – верхней, средней и нижней. На бланке регистрации расположены реперные метки.</w:t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верхней части бланка регистрации расположена надпись «Единый государственный экзамен – 2026» и название бланка «Бланк регистрации».</w:t>
      </w:r>
    </w:p>
    <w:p>
      <w:pPr>
        <w:pStyle w:val="BodyText"/>
        <w:tabs>
          <w:tab w:val="clear" w:pos="709"/>
          <w:tab w:val="left" w:pos="9355" w:leader="none"/>
        </w:tabs>
        <w:ind w:firstLine="709"/>
        <w:jc w:val="both"/>
        <w:rPr/>
      </w:pPr>
      <w:r>
        <w:rPr/>
        <w:t>Здесь же расположены: вертикальный штрихкод, горизонтальный штрихкод и его цифровое значение, QR-код. В этой же части бланка регистрации даны образцы написания букв, цифр и символов, используемых для заполнения участником экзаменов следующих полей бланка регистрации: код образовательной организации; номер и буква класса; номер аудитории.</w:t>
      </w:r>
    </w:p>
    <w:p>
      <w:pPr>
        <w:pStyle w:val="BodyText"/>
        <w:tabs>
          <w:tab w:val="clear" w:pos="709"/>
          <w:tab w:val="left" w:pos="9355" w:leader="none"/>
        </w:tabs>
        <w:ind w:firstLine="709"/>
        <w:jc w:val="both"/>
        <w:rPr/>
      </w:pPr>
      <w:r>
        <w:rPr/>
        <w:t>В верхней части бланка регистрации также расположены поля: код региона; код ППЭ; код предмета; название предмета; дата проведения ЕГЭ; поле для служебного использования «Резерв-1».</w:t>
      </w:r>
    </w:p>
    <w:p>
      <w:pPr>
        <w:pStyle w:val="BodyText"/>
        <w:ind w:firstLine="709"/>
        <w:jc w:val="both"/>
        <w:rPr/>
      </w:pPr>
      <w:r>
        <w:rPr/>
        <w:t>В средней части бланка регистрации расположены поля для внесения следующих сведений об участнике экзамена: фамилия, имя, отчество (последнее – при наличии); серия и номер документа, удостоверяющего личность.</w:t>
      </w:r>
    </w:p>
    <w:p>
      <w:pPr>
        <w:pStyle w:val="BodyText"/>
        <w:ind w:firstLine="709"/>
        <w:jc w:val="both"/>
        <w:rPr/>
      </w:pPr>
      <w:r>
        <w:rPr/>
        <w:t>В средней части бланка регистрации также расположены: краткая памятка о необходимости соблюдении порядка проведения ГИА; краткая инструкция по определению целостности и корректности печати индивидуального комплекта участника экзамена; поле для внесения контрольной суммы; поле для подписи участника экзамена об ознакомлении с порядком проведения</w:t>
      </w:r>
      <w:r>
        <w:rPr>
          <w:spacing w:val="2"/>
        </w:rPr>
        <w:t xml:space="preserve"> </w:t>
      </w:r>
      <w:r>
        <w:rPr/>
        <w:t>ГИА.</w:t>
      </w:r>
    </w:p>
    <w:p>
      <w:pPr>
        <w:pStyle w:val="BodyText"/>
        <w:ind w:firstLine="709"/>
        <w:jc w:val="both"/>
        <w:rPr/>
      </w:pPr>
      <w:r>
        <w:rPr/>
        <w:t>В нижней части бланка регистрации расположены поля для служебного использования (поля «Резерв-2», «Служебная отметка»), поля для заполнения ответственным организатором в аудитории ППЭ в случаях, если участник экзамена удален из ППЭ в связи с нарушением Порядка или не завершил экзамен по объективным причинам, а также поле для подписи ответственного организатора.</w:t>
      </w:r>
    </w:p>
    <w:p>
      <w:pPr>
        <w:pStyle w:val="BodyText"/>
        <w:ind w:firstLine="709"/>
        <w:jc w:val="both"/>
        <w:rPr/>
      </w:pPr>
      <w:r>
        <w:rPr/>
      </w:r>
    </w:p>
    <w:p>
      <w:pPr>
        <w:pStyle w:val="Heading1"/>
        <w:numPr>
          <w:ilvl w:val="2"/>
          <w:numId w:val="2"/>
        </w:numPr>
        <w:tabs>
          <w:tab w:val="clear" w:pos="709"/>
          <w:tab w:val="left" w:pos="1756" w:leader="none"/>
        </w:tabs>
        <w:overflowPunct w:val="false"/>
        <w:ind w:firstLine="709" w:left="0"/>
        <w:jc w:val="both"/>
        <w:rPr/>
      </w:pPr>
      <w:r>
        <w:rPr/>
        <w:t>Бланк ответов №</w:t>
      </w:r>
      <w:r>
        <w:rPr>
          <w:spacing w:val="-3"/>
        </w:rPr>
        <w:t xml:space="preserve"> </w:t>
      </w:r>
      <w:r>
        <w:rPr/>
        <w:t>1</w:t>
      </w:r>
    </w:p>
    <w:p>
      <w:pPr>
        <w:pStyle w:val="BodyText"/>
        <w:overflowPunct w:val="false"/>
        <w:ind w:firstLine="709"/>
        <w:jc w:val="both"/>
        <w:rPr/>
      </w:pPr>
      <w:r>
        <w:rPr/>
        <w:t>Черно-белый бланк является машиночитаемой формой и состоит из трех частей – верхней, средней и нижней. На бланке ответов № 1 расположены реперные метки.</w:t>
      </w:r>
    </w:p>
    <w:p>
      <w:pPr>
        <w:pStyle w:val="BodyText"/>
        <w:ind w:firstLine="709"/>
        <w:jc w:val="both"/>
        <w:rPr/>
      </w:pPr>
      <w:r>
        <w:rPr/>
        <w:t>В верхней части бланка ответов № 1 расположена надпись «Единый государственный экзамен – 2026» и название бланка «Бланк ответов № 1».</w:t>
      </w:r>
    </w:p>
    <w:p>
      <w:pPr>
        <w:pStyle w:val="BodyText"/>
        <w:ind w:firstLine="709"/>
        <w:jc w:val="both"/>
        <w:rPr/>
      </w:pPr>
      <w:r>
        <w:rPr/>
        <w:t>Здесь же расположены: вертикальный штрихкод, горизонтальный штрихкод</w:t>
      </w:r>
      <w:r>
        <w:rPr>
          <w:color w:val="006FC0"/>
        </w:rPr>
        <w:t xml:space="preserve">, </w:t>
      </w:r>
      <w:r>
        <w:rPr/>
        <w:t>QR-код, поле для подписи участника экзамена, образцы написания букв, цифр, символов, используемых при заполнении</w:t>
      </w:r>
      <w:r>
        <w:rPr>
          <w:spacing w:val="2"/>
        </w:rPr>
        <w:t xml:space="preserve"> </w:t>
      </w:r>
      <w:r>
        <w:rPr/>
        <w:t>бланка</w:t>
      </w:r>
      <w:r>
        <w:rPr>
          <w:color w:val="006FC0"/>
        </w:rPr>
        <w:t>.</w:t>
      </w:r>
    </w:p>
    <w:p>
      <w:pPr>
        <w:pStyle w:val="BodyText"/>
        <w:ind w:firstLine="709"/>
        <w:jc w:val="both"/>
        <w:rPr/>
      </w:pPr>
      <w:r>
        <w:rPr/>
        <w:t>В этой части бланка ответов № 1 находятся поля для указания информации: код региона; код предмета; название предмета, поле для подписи участника экзамена, поле для служебного использования «Резерв-4».</w:t>
      </w:r>
    </w:p>
    <w:p>
      <w:pPr>
        <w:pStyle w:val="BodyText"/>
        <w:ind w:firstLine="709"/>
        <w:jc w:val="both"/>
        <w:rPr/>
      </w:pPr>
      <w:r>
        <w:rPr/>
        <w:t>В средней части бланка ответов № 1 расположены поля для записи результатов выполнения заданий с кратким ответом. Максимальное количество полей для кратких ответов – 40. Максимальное количество символов в одном ответе – 17.</w:t>
      </w:r>
    </w:p>
    <w:p>
      <w:pPr>
        <w:pStyle w:val="BodyText"/>
        <w:ind w:firstLine="709"/>
        <w:jc w:val="both"/>
        <w:rPr/>
      </w:pPr>
      <w:r>
        <w:rPr/>
        <w:t>В бланке ответов</w:t>
      </w:r>
      <w:r>
        <w:rPr>
          <w:spacing w:val="51"/>
        </w:rPr>
        <w:t xml:space="preserve"> </w:t>
      </w:r>
      <w:r>
        <w:rPr/>
        <w:t>№</w:t>
      </w:r>
      <w:r>
        <w:rPr>
          <w:spacing w:val="51"/>
        </w:rPr>
        <w:t xml:space="preserve"> </w:t>
      </w:r>
      <w:r>
        <w:rPr/>
        <w:t>1 по литературе в полях</w:t>
      </w:r>
      <w:r>
        <w:rPr>
          <w:spacing w:val="52"/>
        </w:rPr>
        <w:t xml:space="preserve"> </w:t>
      </w:r>
      <w:r>
        <w:rPr/>
        <w:t>для</w:t>
      </w:r>
      <w:r>
        <w:rPr>
          <w:spacing w:val="51"/>
        </w:rPr>
        <w:t xml:space="preserve"> </w:t>
      </w:r>
      <w:r>
        <w:rPr/>
        <w:t>кратких ответов №</w:t>
      </w:r>
      <w:r>
        <w:rPr>
          <w:spacing w:val="51"/>
        </w:rPr>
        <w:t xml:space="preserve"> </w:t>
      </w:r>
      <w:r>
        <w:rPr/>
        <w:t>4-5 и № 9-11 внесена надпись «Задание выполняется на бланке ответов № 2».</w:t>
      </w:r>
    </w:p>
    <w:p>
      <w:pPr>
        <w:pStyle w:val="BodyText"/>
        <w:ind w:firstLine="709"/>
        <w:jc w:val="both"/>
        <w:rPr/>
      </w:pPr>
      <w:r>
        <w:rPr/>
        <w:t>В нижней части бланка ответов № 1 предусмотрены:</w:t>
      </w:r>
    </w:p>
    <w:p>
      <w:pPr>
        <w:pStyle w:val="BodyText"/>
        <w:ind w:firstLine="709"/>
        <w:jc w:val="both"/>
        <w:rPr/>
      </w:pPr>
      <w:r>
        <w:rPr/>
        <w:t>поля для замены ошибочных ответов на задания КИМ для проведения ЕГЭ с кратким ответом. Количество полей для замены ошибочных ответов – 6, максимальное количество символов в одном ответе – 17;</w:t>
      </w:r>
    </w:p>
    <w:p>
      <w:pPr>
        <w:pStyle w:val="BodyText"/>
        <w:ind w:firstLine="709"/>
        <w:jc w:val="both"/>
        <w:rPr/>
      </w:pPr>
      <w:r>
        <w:rPr/>
        <w:t>поле «Количество заполненных полей «Замена ошибочных ответов», заполняемое ответственным организатором в аудитории, и поле для подписи ответственного организатора.</w:t>
      </w:r>
    </w:p>
    <w:p>
      <w:pPr>
        <w:pStyle w:val="BodyText"/>
        <w:ind w:firstLine="709"/>
        <w:jc w:val="both"/>
        <w:rPr/>
      </w:pPr>
      <w:r>
        <w:rPr/>
      </w:r>
    </w:p>
    <w:p>
      <w:pPr>
        <w:pStyle w:val="Heading1"/>
        <w:ind w:firstLine="709" w:left="0"/>
        <w:jc w:val="both"/>
        <w:rPr/>
      </w:pPr>
      <w:r>
        <w:rPr/>
        <w:t>1.1.3. Бланк ответов №</w:t>
      </w:r>
      <w:r>
        <w:rPr>
          <w:spacing w:val="2"/>
        </w:rPr>
        <w:t xml:space="preserve"> </w:t>
      </w:r>
      <w:r>
        <w:rPr/>
        <w:t>2</w:t>
      </w:r>
    </w:p>
    <w:p>
      <w:pPr>
        <w:pStyle w:val="BodyText"/>
        <w:ind w:firstLine="709"/>
        <w:jc w:val="both"/>
        <w:rPr/>
      </w:pPr>
      <w:r>
        <w:rPr/>
        <w:t>Черно-белый бланк ответов № 2 (лист 1 и лист 2) является односторонней машиночитаемой формой и состоит из двух частей – верхней и нижней.</w:t>
      </w:r>
    </w:p>
    <w:p>
      <w:pPr>
        <w:pStyle w:val="BodyText"/>
        <w:ind w:firstLine="709"/>
        <w:jc w:val="both"/>
        <w:rPr/>
      </w:pPr>
      <w:r>
        <w:rPr/>
        <w:t>В верхней части бланка ответов № 2 (лист 1 и лист 2) расположена надпись «Единый государственный экзамен – 2026» и название бланка «Бланк ответов № 2. Лист 1»</w:t>
      </w:r>
      <w:r>
        <w:rPr>
          <w:spacing w:val="64"/>
        </w:rPr>
        <w:t xml:space="preserve"> </w:t>
      </w:r>
      <w:r>
        <w:rPr/>
        <w:t>или «Бланк ответов № 2. Лист 2» соответственно.</w:t>
      </w:r>
    </w:p>
    <w:p>
      <w:pPr>
        <w:pStyle w:val="BodyText"/>
        <w:ind w:firstLine="709"/>
        <w:jc w:val="both"/>
        <w:rPr/>
      </w:pPr>
      <w:r>
        <w:rPr/>
        <w:t xml:space="preserve">Здесь же расположены: вертикальный штрихкод, горизонтальный штрихкод, </w:t>
      </w:r>
      <w:r>
        <w:rPr>
          <w:lang w:val="en-US"/>
        </w:rPr>
        <w:t>QR</w:t>
      </w:r>
      <w:r>
        <w:rPr/>
        <w:t>-код.</w:t>
      </w:r>
    </w:p>
    <w:p>
      <w:pPr>
        <w:pStyle w:val="BodyText"/>
        <w:ind w:firstLine="709"/>
        <w:jc w:val="both"/>
        <w:rPr/>
      </w:pPr>
      <w:r>
        <w:rPr/>
        <w:t>В этой части бланка ответов № 2 (лист 1 и лист 2) находятся для указания информации:</w:t>
      </w:r>
    </w:p>
    <w:p>
      <w:pPr>
        <w:pStyle w:val="BodyText"/>
        <w:ind w:firstLine="709"/>
        <w:jc w:val="both"/>
        <w:rPr/>
      </w:pPr>
      <w:r>
        <w:rPr/>
        <w:t>код региона;</w:t>
      </w:r>
    </w:p>
    <w:p>
      <w:pPr>
        <w:pStyle w:val="BodyText"/>
        <w:ind w:firstLine="709"/>
        <w:jc w:val="both"/>
        <w:rPr/>
      </w:pPr>
      <w:r>
        <w:rPr/>
        <w:t>код предмета;</w:t>
      </w:r>
    </w:p>
    <w:p>
      <w:pPr>
        <w:pStyle w:val="BodyText"/>
        <w:ind w:firstLine="709"/>
        <w:jc w:val="both"/>
        <w:rPr/>
      </w:pPr>
      <w:r>
        <w:rPr/>
        <w:t>название предмета;</w:t>
      </w:r>
    </w:p>
    <w:p>
      <w:pPr>
        <w:pStyle w:val="BodyText"/>
        <w:ind w:firstLine="709"/>
        <w:jc w:val="both"/>
        <w:rPr/>
      </w:pPr>
      <w:r>
        <w:rPr/>
        <w:t>на листе 1 бланка ответов № 2: поле для записи цифрового значения штрихкода бланка ответов № 2 лист 2;</w:t>
      </w:r>
    </w:p>
    <w:p>
      <w:pPr>
        <w:pStyle w:val="BodyText"/>
        <w:ind w:firstLine="709"/>
        <w:jc w:val="both"/>
        <w:rPr/>
      </w:pPr>
      <w:r>
        <w:rPr/>
        <w:t>на листе 2 бланка ответов № 2: поле для записи цифрового значения штрихкода дополнительного бланка ответов № 2;</w:t>
      </w:r>
    </w:p>
    <w:p>
      <w:pPr>
        <w:pStyle w:val="BodyText"/>
        <w:ind w:firstLine="709"/>
        <w:jc w:val="both"/>
        <w:rPr/>
      </w:pPr>
      <w:r>
        <w:rPr/>
        <w:t>поля для нумерации листов бланков ответов № 2;</w:t>
      </w:r>
    </w:p>
    <w:p>
      <w:pPr>
        <w:pStyle w:val="BodyText"/>
        <w:ind w:firstLine="709"/>
        <w:jc w:val="both"/>
        <w:rPr/>
      </w:pPr>
      <w:r>
        <w:rPr/>
        <w:t>поля для служебного использования «Резерв-5», «Резерв-6».</w:t>
      </w:r>
    </w:p>
    <w:p>
      <w:pPr>
        <w:pStyle w:val="BodyText"/>
        <w:ind w:firstLine="709"/>
        <w:jc w:val="both"/>
        <w:rPr/>
      </w:pPr>
      <w:r>
        <w:rPr/>
        <w:t>На листе 2 бланка ответов № 2 указано «Данный бланк использовать только после заполнения бланка ответов № 2 лист 1».</w:t>
      </w:r>
    </w:p>
    <w:p>
      <w:pPr>
        <w:pStyle w:val="BodyText"/>
        <w:ind w:firstLine="709"/>
        <w:jc w:val="both"/>
        <w:rPr/>
      </w:pPr>
      <w:r>
        <w:rPr/>
        <w:t>Поле для записи ответов на задания КИМ для проведения ЕГЭ с развернутым ответом располагается в нижней части бланка ответов № 2 и разлиновано пунктирными линиями «в клеточку».</w:t>
      </w:r>
    </w:p>
    <w:p>
      <w:pPr>
        <w:pStyle w:val="BodyText"/>
        <w:ind w:firstLine="709"/>
        <w:jc w:val="both"/>
        <w:rPr/>
      </w:pPr>
      <w:r>
        <w:rPr/>
        <w:t>В бланке ответов № 2 (лист 1 и лист 2) по китайскому языку поле для записи ответов на задания КИМ для проведения ЕГЭ с развернутым ответом располагается в нижней части бланка ответов № 2 и разлиновано пунктирными линиями «в</w:t>
      </w:r>
      <w:r>
        <w:rPr>
          <w:spacing w:val="-1"/>
        </w:rPr>
        <w:t xml:space="preserve"> </w:t>
      </w:r>
      <w:r>
        <w:rPr/>
        <w:t>клеточку» увеличенного размера.</w:t>
      </w:r>
    </w:p>
    <w:p>
      <w:pPr>
        <w:pStyle w:val="BodyText"/>
        <w:ind w:firstLine="709"/>
        <w:jc w:val="both"/>
        <w:rPr/>
      </w:pPr>
      <w:r>
        <w:rPr/>
        <w:t>В нижней части листа 1 и листа 2 бланка ответов № 2 содержится указание для участников экзамена в случае недостатка места для записи ответов на задания КИМ для проведения ЕГЭ с развернутым ответом.</w:t>
      </w:r>
    </w:p>
    <w:p>
      <w:pPr>
        <w:pStyle w:val="BodyText"/>
        <w:ind w:firstLine="709"/>
        <w:jc w:val="both"/>
        <w:rPr/>
      </w:pPr>
      <w:r>
        <w:rPr/>
      </w:r>
    </w:p>
    <w:p>
      <w:pPr>
        <w:pStyle w:val="Heading1"/>
        <w:tabs>
          <w:tab w:val="clear" w:pos="709"/>
          <w:tab w:val="left" w:pos="1750" w:leader="none"/>
        </w:tabs>
        <w:ind w:firstLine="709" w:left="0"/>
        <w:jc w:val="both"/>
        <w:rPr/>
      </w:pPr>
      <w:r>
        <w:rPr/>
        <w:t>1.1.4. Дополнительный бланк ответов №</w:t>
      </w:r>
      <w:r>
        <w:rPr>
          <w:spacing w:val="2"/>
        </w:rPr>
        <w:t xml:space="preserve"> </w:t>
      </w:r>
      <w:r>
        <w:rPr/>
        <w:t>2</w:t>
      </w:r>
    </w:p>
    <w:p>
      <w:pPr>
        <w:pStyle w:val="BodyText"/>
        <w:ind w:firstLine="709"/>
        <w:jc w:val="both"/>
        <w:rPr/>
      </w:pPr>
      <w:r>
        <w:rPr/>
        <w:t>Черно-белый дополнительный бланк ответов № 2 является односторонней машиночитаемой формой и состоит из двух частей – верхней и нижней.</w:t>
      </w:r>
    </w:p>
    <w:p>
      <w:pPr>
        <w:pStyle w:val="BodyText"/>
        <w:ind w:firstLine="709"/>
        <w:jc w:val="both"/>
        <w:rPr/>
      </w:pPr>
      <w:r>
        <w:rPr/>
        <w:t>В верхней части дополнительного бланка ответов № 2 расположена надпись «Единый государственный экзамен – 2026» и название бланка «Дополнительный бланк ответов № 2».</w:t>
      </w:r>
    </w:p>
    <w:p>
      <w:pPr>
        <w:pStyle w:val="BodyText"/>
        <w:ind w:firstLine="709"/>
        <w:jc w:val="both"/>
        <w:rPr/>
      </w:pPr>
      <w:r>
        <w:rPr/>
        <w:t xml:space="preserve">Здесь же расположены: вертикальный штрихкод, горизонтальный штрихкод и его цифровое значение, </w:t>
      </w:r>
      <w:r>
        <w:rPr>
          <w:lang w:val="en-US"/>
        </w:rPr>
        <w:t>QR</w:t>
      </w:r>
      <w:r>
        <w:rPr/>
        <w:t>-код.</w:t>
      </w:r>
    </w:p>
    <w:p>
      <w:pPr>
        <w:pStyle w:val="BodyText"/>
        <w:ind w:firstLine="709"/>
        <w:jc w:val="both"/>
        <w:rPr/>
      </w:pPr>
      <w:r>
        <w:rPr/>
        <w:t>В этой части дополнительного бланка ответов № 2 находятся поля для указания информации:</w:t>
      </w:r>
    </w:p>
    <w:p>
      <w:pPr>
        <w:pStyle w:val="BodyText"/>
        <w:ind w:firstLine="709"/>
        <w:jc w:val="both"/>
        <w:rPr/>
      </w:pPr>
      <w:r>
        <w:rPr/>
        <w:t>код региона;</w:t>
      </w:r>
    </w:p>
    <w:p>
      <w:pPr>
        <w:pStyle w:val="BodyText"/>
        <w:ind w:firstLine="709"/>
        <w:jc w:val="both"/>
        <w:rPr/>
      </w:pPr>
      <w:r>
        <w:rPr/>
        <w:t>код предмета;</w:t>
      </w:r>
    </w:p>
    <w:p>
      <w:pPr>
        <w:pStyle w:val="BodyText"/>
        <w:ind w:firstLine="709"/>
        <w:jc w:val="both"/>
        <w:rPr/>
      </w:pPr>
      <w:r>
        <w:rPr/>
        <w:t>название предмета;</w:t>
      </w:r>
    </w:p>
    <w:p>
      <w:pPr>
        <w:pStyle w:val="BodyText"/>
        <w:ind w:firstLine="709"/>
        <w:jc w:val="both"/>
        <w:rPr/>
      </w:pPr>
      <w:r>
        <w:rPr/>
        <w:t>поле для записи цифрового значения штрихкода следующего дополнительного бланка ответов № 2, в случае его использования участником экзамена;</w:t>
      </w:r>
    </w:p>
    <w:p>
      <w:pPr>
        <w:pStyle w:val="BodyText"/>
        <w:ind w:firstLine="709"/>
        <w:jc w:val="both"/>
        <w:rPr/>
      </w:pPr>
      <w:r>
        <w:rPr/>
        <w:t>поля для нумерации листов дополнительного бланка ответов № 2;</w:t>
      </w:r>
    </w:p>
    <w:p>
      <w:pPr>
        <w:pStyle w:val="BodyText"/>
        <w:ind w:firstLine="709"/>
        <w:jc w:val="both"/>
        <w:rPr/>
      </w:pPr>
      <w:r>
        <w:rPr/>
        <w:t>поля для служебного использования «Резерв-6».</w:t>
      </w:r>
    </w:p>
    <w:p>
      <w:pPr>
        <w:pStyle w:val="BodyText"/>
        <w:ind w:firstLine="709"/>
        <w:jc w:val="both"/>
        <w:rPr/>
      </w:pPr>
      <w:r>
        <w:rPr/>
        <w:t>В дополнительном бланке ответов № 2 указано «Данный бланк использовать только после заполнения обоих листов основного бланка ответов № 2».</w:t>
      </w:r>
    </w:p>
    <w:p>
      <w:pPr>
        <w:pStyle w:val="BodyText"/>
        <w:ind w:firstLine="709"/>
        <w:jc w:val="both"/>
        <w:rPr/>
      </w:pPr>
      <w:r>
        <w:rPr/>
        <w:t>Поле для записи ответов на задания КИМ для проведения ЕГЭ с развернутым ответом располагается в нижней части дополнительного бланка ответов № 2 и разлиновано пунктирными линиями «в клеточку».</w:t>
      </w:r>
    </w:p>
    <w:p>
      <w:pPr>
        <w:pStyle w:val="BodyText"/>
        <w:ind w:firstLine="709"/>
        <w:jc w:val="both"/>
        <w:rPr/>
      </w:pPr>
      <w:r>
        <w:rPr/>
        <w:t>В дополнительном бланке ответов № 2 по китайскому языку поле для записи ответов на задания КИМ для проведения ЕГЭ с развернутым ответом располагается в нижней части дополнительного бланка ответов № 2 и разлиновано пунктирными линиями «в</w:t>
      </w:r>
      <w:r>
        <w:rPr>
          <w:spacing w:val="-7"/>
        </w:rPr>
        <w:t xml:space="preserve"> </w:t>
      </w:r>
      <w:r>
        <w:rPr/>
        <w:t>клеточку» увеличенного размера.</w:t>
      </w:r>
    </w:p>
    <w:p>
      <w:pPr>
        <w:pStyle w:val="BodyText"/>
        <w:ind w:firstLine="709"/>
        <w:jc w:val="both"/>
        <w:rPr/>
      </w:pPr>
      <w:r>
        <w:rPr/>
        <w:t>В нижней части листа дополнительного бланка ответов № 2 содержится указание для участников экзаменов в случае недостатка места для записи</w:t>
      </w:r>
      <w:r>
        <w:rPr>
          <w:spacing w:val="6"/>
        </w:rPr>
        <w:t xml:space="preserve"> </w:t>
      </w:r>
      <w:r>
        <w:rPr/>
        <w:t>ответов.</w:t>
      </w:r>
    </w:p>
    <w:p>
      <w:pPr>
        <w:pStyle w:val="BodyText"/>
        <w:ind w:firstLine="709"/>
        <w:jc w:val="both"/>
        <w:rPr/>
      </w:pPr>
      <w:r>
        <w:rPr/>
      </w:r>
    </w:p>
    <w:p>
      <w:pPr>
        <w:pStyle w:val="BodyText"/>
        <w:ind w:firstLine="709"/>
        <w:jc w:val="both"/>
        <w:rPr/>
      </w:pPr>
      <w:r>
        <w:rPr/>
      </w:r>
    </w:p>
    <w:p>
      <w:pPr>
        <w:pStyle w:val="BodyText"/>
        <w:ind w:firstLine="709"/>
        <w:jc w:val="both"/>
        <w:rPr/>
      </w:pPr>
      <w:r>
        <w:rPr/>
      </w:r>
    </w:p>
    <w:p>
      <w:pPr>
        <w:pStyle w:val="Heading1"/>
        <w:ind w:firstLine="709" w:left="0"/>
        <w:jc w:val="both"/>
        <w:rPr/>
      </w:pPr>
      <w:r>
        <w:rPr/>
        <w:t>1.2. Правила заполнения бланков</w:t>
      </w:r>
      <w:r>
        <w:rPr>
          <w:spacing w:val="2"/>
        </w:rPr>
        <w:t xml:space="preserve"> </w:t>
      </w:r>
      <w:r>
        <w:rPr/>
        <w:t>ЕГЭ</w:t>
      </w:r>
    </w:p>
    <w:p>
      <w:pPr>
        <w:pStyle w:val="BodyText"/>
        <w:ind w:firstLine="709"/>
        <w:jc w:val="both"/>
        <w:rPr>
          <w:b/>
        </w:rPr>
      </w:pPr>
      <w:r>
        <w:rPr>
          <w:b/>
        </w:rPr>
      </w:r>
    </w:p>
    <w:p>
      <w:pPr>
        <w:pStyle w:val="Heading1"/>
        <w:numPr>
          <w:ilvl w:val="2"/>
          <w:numId w:val="4"/>
        </w:numPr>
        <w:tabs>
          <w:tab w:val="left" w:pos="709" w:leader="none"/>
        </w:tabs>
        <w:ind w:firstLine="709" w:left="0"/>
        <w:jc w:val="both"/>
        <w:rPr/>
      </w:pPr>
      <w:bookmarkStart w:id="3" w:name="_bookmark8"/>
      <w:bookmarkEnd w:id="3"/>
      <w:r>
        <w:rPr/>
        <w:t>Общая</w:t>
      </w:r>
      <w:r>
        <w:rPr>
          <w:spacing w:val="-2"/>
        </w:rPr>
        <w:t xml:space="preserve"> </w:t>
      </w:r>
      <w:r>
        <w:rPr/>
        <w:t>часть</w:t>
      </w:r>
    </w:p>
    <w:p>
      <w:pPr>
        <w:pStyle w:val="BodyText"/>
        <w:ind w:firstLine="709"/>
        <w:jc w:val="both"/>
        <w:rPr/>
      </w:pPr>
      <w:r>
        <w:rPr/>
        <w:t>Участники экзаменов выполняют экзаменационные работы на бланках ЕГЭ, формы и описание правил заполнения которых приведены</w:t>
      </w:r>
      <w:r>
        <w:rPr>
          <w:spacing w:val="1"/>
        </w:rPr>
        <w:t xml:space="preserve"> </w:t>
      </w:r>
      <w:r>
        <w:rPr/>
        <w:t>ниже.</w:t>
      </w:r>
    </w:p>
    <w:p>
      <w:pPr>
        <w:pStyle w:val="BodyText"/>
        <w:ind w:firstLine="709"/>
        <w:jc w:val="both"/>
        <w:rPr/>
      </w:pPr>
      <w:r>
        <w:rPr/>
        <w:t>При заполнении бланков ЕГЭ необходимо точно соблюдать настоящие правила, так как информация, внесенная в бланки, сканируется и обрабатывается с использованием специальных аппаратно-программных</w:t>
      </w:r>
      <w:r>
        <w:rPr>
          <w:spacing w:val="-1"/>
        </w:rPr>
        <w:t xml:space="preserve"> </w:t>
      </w:r>
      <w:r>
        <w:rPr/>
        <w:t>средств.</w:t>
      </w:r>
    </w:p>
    <w:p>
      <w:pPr>
        <w:pStyle w:val="BodyText"/>
        <w:ind w:firstLine="709"/>
        <w:jc w:val="both"/>
        <w:rPr/>
      </w:pPr>
      <w:r>
        <w:rPr/>
        <w:t xml:space="preserve">В случае нехватки места в бланках ответов № 2 (лист 1 и лист 2) по просьбе участника экзамена выдает </w:t>
      </w:r>
      <w:hyperlink r:id="rId2">
        <w:r>
          <w:rPr>
            <w:rStyle w:val="Style7"/>
          </w:rPr>
          <w:t>дополнительный бланк ответов ЕГЭ № 2</w:t>
        </w:r>
      </w:hyperlink>
      <w:r>
        <w:rPr/>
        <w:t>. При этом номер дополнительного бланка ответов № 2 организатор в аудитории указывает в листе 2 бланка ответов №</w:t>
      </w:r>
      <w:r>
        <w:rPr>
          <w:spacing w:val="-8"/>
        </w:rPr>
        <w:t xml:space="preserve"> </w:t>
      </w:r>
      <w:r>
        <w:rPr/>
        <w:t>2.</w:t>
      </w:r>
    </w:p>
    <w:p>
      <w:pPr>
        <w:pStyle w:val="BodyText"/>
        <w:ind w:firstLine="709"/>
        <w:jc w:val="both"/>
        <w:rPr/>
      </w:pPr>
      <w:r>
        <w:rPr>
          <w:b/>
        </w:rPr>
        <w:t xml:space="preserve">ВАЖНО!!! </w:t>
      </w:r>
      <w:r>
        <w:rPr/>
        <w:t>Оборотные стороны бланков ЕГЭ НЕ ЗАПОЛНЯЮТСЯ!!!</w:t>
      </w:r>
    </w:p>
    <w:p>
      <w:pPr>
        <w:pStyle w:val="BodyText"/>
        <w:ind w:firstLine="709"/>
        <w:jc w:val="both"/>
        <w:rPr/>
      </w:pPr>
      <w:r>
        <w:rPr/>
      </w:r>
    </w:p>
    <w:p>
      <w:pPr>
        <w:pStyle w:val="Heading1"/>
        <w:numPr>
          <w:ilvl w:val="2"/>
          <w:numId w:val="5"/>
        </w:numPr>
        <w:ind w:firstLine="709" w:left="0"/>
        <w:jc w:val="both"/>
        <w:rPr/>
      </w:pPr>
      <w:r>
        <w:rPr/>
        <w:t>Основные правила заполнения бланков</w:t>
      </w:r>
      <w:r>
        <w:rPr>
          <w:spacing w:val="1"/>
        </w:rPr>
        <w:t xml:space="preserve"> </w:t>
      </w:r>
      <w:r>
        <w:rPr/>
        <w:t>ЕГЭ</w:t>
      </w:r>
    </w:p>
    <w:p>
      <w:pPr>
        <w:pStyle w:val="BodyText"/>
        <w:ind w:firstLine="709"/>
        <w:jc w:val="both"/>
        <w:rPr/>
      </w:pPr>
      <w:r>
        <w:rPr/>
        <w:t>Все бланки ЕГЭ заполняются гелевой или капиллярной ручкой с чернилами черного цвета.</w:t>
      </w:r>
    </w:p>
    <w:p>
      <w:pPr>
        <w:pStyle w:val="BodyText"/>
        <w:ind w:firstLine="709"/>
        <w:jc w:val="both"/>
        <w:rPr/>
      </w:pPr>
      <w:r>
        <w:rPr>
          <w:b/>
        </w:rPr>
        <w:t>ВАЖНО!!!</w:t>
      </w:r>
      <w:r>
        <w:rPr/>
        <w:t xml:space="preserve"> Участник экзамена ДОЛЖЕН ИЗОБРАЖАТЬ КАЖДУЮ ЦИФРУ И БУКВУ во всех заполняемых полях бланка регистрации и бланка ответов № 1, ТЩАТЕЛЬНО КОПИРУЯ ОБРАЗЕЦ ЕЕ НАПИСАНИЯ из строки с образцами написания символов, расположенными в верхней части бланка регистрации и бланка ответов № 1. Небрежное написание символов может привести к тому, что при автоматизированной обработке символ может быть распознан неправильно.</w:t>
      </w:r>
    </w:p>
    <w:p>
      <w:pPr>
        <w:pStyle w:val="BodyText"/>
        <w:ind w:firstLine="709"/>
        <w:jc w:val="both"/>
        <w:rPr/>
      </w:pPr>
      <w:r>
        <w:rPr/>
        <w:t xml:space="preserve">Каждое поле в бланках заполняется, </w:t>
      </w:r>
      <w:r>
        <w:rPr>
          <w:b/>
        </w:rPr>
        <w:t xml:space="preserve">начиная с первой позиции </w:t>
      </w:r>
      <w:r>
        <w:rPr/>
        <w:t>(в том числе и поля для внесения фамилии, имени и отчества (последнее – при наличии) участника экзамена, реквизитов документа, удостоверяющего его личность).</w:t>
      </w:r>
    </w:p>
    <w:p>
      <w:pPr>
        <w:pStyle w:val="BodyText"/>
        <w:ind w:firstLine="709"/>
        <w:jc w:val="both"/>
        <w:rPr/>
      </w:pPr>
      <w:r>
        <w:rPr/>
        <w:t>При записи ответов необходимо строго следовать инструкциям по выполнению экзаменационной работы (к группе заданий, отдельным заданиям), указанным в КИМ для проведения ЕГЭ по соответствующему учебному предмету.</w:t>
      </w:r>
    </w:p>
    <w:p>
      <w:pPr>
        <w:pStyle w:val="BodyText"/>
        <w:ind w:firstLine="709"/>
        <w:jc w:val="both"/>
        <w:rPr/>
      </w:pPr>
      <w:r>
        <w:rPr/>
        <w:t>На бланках ответов № 1 и № 2, дополнительном бланке ответов № 2 не должно быть пометок, содержащих информацию о личности участника экзамена.</w:t>
      </w:r>
    </w:p>
    <w:p>
      <w:pPr>
        <w:pStyle w:val="BodyText"/>
        <w:ind w:firstLine="709"/>
        <w:jc w:val="both"/>
        <w:rPr>
          <w:b/>
        </w:rPr>
      </w:pPr>
      <w:r>
        <w:rPr>
          <w:b/>
        </w:rPr>
        <w:t>Категорически запрещается:</w:t>
      </w:r>
    </w:p>
    <w:p>
      <w:pPr>
        <w:pStyle w:val="BodyText"/>
        <w:ind w:firstLine="709"/>
        <w:jc w:val="both"/>
        <w:rPr/>
      </w:pPr>
      <w:r>
        <w:rPr/>
        <w:t>делать в полях бланков ЕГЭ, вне полей бланков ЕГЭ или в полях, заполненных типографским способом, какие-либо записи и (или) пометки, не относящиеся к содержанию полей бланков</w:t>
      </w:r>
      <w:r>
        <w:rPr>
          <w:spacing w:val="-2"/>
        </w:rPr>
        <w:t xml:space="preserve"> </w:t>
      </w:r>
      <w:r>
        <w:rPr/>
        <w:t>ЕГЭ;</w:t>
      </w:r>
    </w:p>
    <w:p>
      <w:pPr>
        <w:sectPr>
          <w:headerReference w:type="even" r:id="rId3"/>
          <w:headerReference w:type="default" r:id="rId4"/>
          <w:headerReference w:type="first" r:id="rId5"/>
          <w:type w:val="nextPage"/>
          <w:pgSz w:w="11906" w:h="16838"/>
          <w:pgMar w:left="1701" w:right="851" w:gutter="0" w:header="709" w:top="1134" w:footer="0" w:bottom="1134"/>
          <w:pgNumType w:fmt="decimal"/>
          <w:formProt w:val="false"/>
          <w:titlePg/>
          <w:textDirection w:val="lrTb"/>
          <w:docGrid w:type="default" w:linePitch="299" w:charSpace="4096"/>
        </w:sectPr>
        <w:pStyle w:val="BodyText"/>
        <w:ind w:firstLine="709"/>
        <w:jc w:val="both"/>
        <w:rPr/>
      </w:pPr>
      <w:r>
        <w:rPr/>
        <w:t>использовать для заполнения бланков ЕГЭ цветные ручки вместо гелевой или капиллярной ручки с чернилами черного цвета, карандаш, средства для исправления внесенной в бланки ЕГЭ информации (корректирующую жидкость, «ластик» и др.).</w:t>
      </w:r>
    </w:p>
    <w:p>
      <w:pPr>
        <w:pStyle w:val="Heading1"/>
        <w:tabs>
          <w:tab w:val="clear" w:pos="709"/>
          <w:tab w:val="left" w:pos="1750" w:leader="none"/>
        </w:tabs>
        <w:ind w:firstLine="709" w:left="0"/>
        <w:rPr/>
      </w:pPr>
      <w:r>
        <w:rPr/>
        <w:t>1.2.3. Заполнение бланка</w:t>
      </w:r>
      <w:r>
        <w:rPr>
          <w:spacing w:val="2"/>
        </w:rPr>
        <w:t xml:space="preserve"> </w:t>
      </w:r>
      <w:r>
        <w:rPr/>
        <w:t>регистрации</w:t>
      </w:r>
    </w:p>
    <w:p>
      <w:pPr>
        <w:pStyle w:val="Normal"/>
        <w:ind w:firstLine="70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firstLine="709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0" allowOverlap="1" relativeHeight="11">
            <wp:simplePos x="0" y="0"/>
            <wp:positionH relativeFrom="page">
              <wp:posOffset>1089660</wp:posOffset>
            </wp:positionH>
            <wp:positionV relativeFrom="paragraph">
              <wp:posOffset>191770</wp:posOffset>
            </wp:positionV>
            <wp:extent cx="5852795" cy="7766050"/>
            <wp:effectExtent l="0" t="0" r="0" b="0"/>
            <wp:wrapTopAndBottom/>
            <wp:docPr id="1" name="Imag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2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2795" cy="776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ind w:firstLine="70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firstLine="709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Рис. 1.1. Бланк регистрации</w:t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firstLine="709"/>
        <w:jc w:val="center"/>
        <w:rPr>
          <w:sz w:val="26"/>
          <w:szCs w:val="26"/>
        </w:rPr>
      </w:pPr>
      <w:r>
        <w:rPr/>
        <w:drawing>
          <wp:inline distT="0" distB="0" distL="0" distR="0">
            <wp:extent cx="5751195" cy="8217535"/>
            <wp:effectExtent l="0" t="0" r="0" b="0"/>
            <wp:docPr id="2" name="Imag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3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1195" cy="821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ind w:firstLine="709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Рис. 1.2. Бланк регистрации ЕГЭ по иностранным языкам (устная часть)</w:t>
      </w:r>
    </w:p>
    <w:p>
      <w:pPr>
        <w:pStyle w:val="Normal"/>
        <w:ind w:firstLine="709"/>
        <w:rPr>
          <w:i/>
          <w:i/>
          <w:sz w:val="26"/>
          <w:szCs w:val="26"/>
        </w:rPr>
      </w:pPr>
      <w:r>
        <w:rPr>
          <w:i/>
          <w:sz w:val="26"/>
          <w:szCs w:val="26"/>
        </w:rPr>
      </w:r>
    </w:p>
    <w:p>
      <w:pPr>
        <w:pStyle w:val="Normal"/>
        <w:ind w:firstLine="709"/>
        <w:rPr>
          <w:i/>
          <w:i/>
          <w:sz w:val="26"/>
          <w:szCs w:val="26"/>
        </w:rPr>
      </w:pPr>
      <w:r>
        <w:rPr>
          <w:i/>
          <w:sz w:val="26"/>
          <w:szCs w:val="26"/>
        </w:rPr>
      </w:r>
    </w:p>
    <w:p>
      <w:pPr>
        <w:pStyle w:val="Normal"/>
        <w:ind w:firstLine="709"/>
        <w:rPr>
          <w:i/>
          <w:i/>
          <w:sz w:val="26"/>
          <w:szCs w:val="26"/>
        </w:rPr>
      </w:pPr>
      <w:r>
        <w:rPr>
          <w:i/>
          <w:sz w:val="26"/>
          <w:szCs w:val="26"/>
        </w:rPr>
      </w:r>
    </w:p>
    <w:p>
      <w:pPr>
        <w:pStyle w:val="Normal"/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firstLine="709"/>
        <w:jc w:val="center"/>
        <w:rPr>
          <w:sz w:val="26"/>
          <w:szCs w:val="26"/>
        </w:rPr>
      </w:pPr>
      <w:r>
        <w:rPr/>
        <w:drawing>
          <wp:inline distT="0" distB="0" distL="0" distR="0">
            <wp:extent cx="5791200" cy="8229600"/>
            <wp:effectExtent l="0" t="0" r="0" b="0"/>
            <wp:docPr id="3" name="Image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4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822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ind w:firstLine="709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Рис. 1.3. Бланк регистрации КЕГЭ</w:t>
      </w:r>
    </w:p>
    <w:p>
      <w:pPr>
        <w:pStyle w:val="Normal"/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 указанию ответственного организатора в аудитории участники экзамена приступают к заполнению верхней части бланка регистрации (рис.2).</w:t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0" allowOverlap="1" relativeHeight="12">
            <wp:simplePos x="0" y="0"/>
            <wp:positionH relativeFrom="page">
              <wp:posOffset>1101725</wp:posOffset>
            </wp:positionH>
            <wp:positionV relativeFrom="paragraph">
              <wp:posOffset>200660</wp:posOffset>
            </wp:positionV>
            <wp:extent cx="6087110" cy="1828800"/>
            <wp:effectExtent l="0" t="0" r="0" b="0"/>
            <wp:wrapTopAndBottom/>
            <wp:docPr id="4" name="Image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5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7110" cy="182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ind w:firstLine="709"/>
        <w:rPr>
          <w:sz w:val="26"/>
          <w:szCs w:val="26"/>
        </w:rPr>
      </w:pPr>
      <w:r>
        <w:rPr>
          <w:i/>
          <w:sz w:val="26"/>
          <w:szCs w:val="26"/>
        </w:rPr>
        <w:t>Рис. 2. Верхняя часть бланка регистрации</w:t>
      </w:r>
    </w:p>
    <w:p>
      <w:pPr>
        <w:pStyle w:val="Normal"/>
        <w:ind w:firstLine="709"/>
        <w:rPr>
          <w:i/>
          <w:i/>
          <w:sz w:val="26"/>
          <w:szCs w:val="26"/>
        </w:rPr>
      </w:pPr>
      <w:r>
        <w:rPr>
          <w:i/>
          <w:sz w:val="26"/>
          <w:szCs w:val="26"/>
        </w:rPr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Участниками экзамена заполняются следующие поля верхней части бланка регистрации (см. Таблицу 1):</w:t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код образовательной организации;</w:t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номер и буква класса (только для участников ГИА, участниками ЕГЭ не заполняется);</w:t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номер аудитории;</w:t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Поля «Код региона», «Код ППЭ», «Код предмета», «Название предмета», «Дата проведения ЕГЭ» заполняются автоматически. Поле для служебного использования «Резерв-1» не заполняется.</w:t>
      </w:r>
    </w:p>
    <w:p>
      <w:pPr>
        <w:pStyle w:val="Normal"/>
        <w:ind w:firstLine="709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При проведении ЕГЭ в ППЭ с использованием ЭМ ЕГЭ на бумажных носителях также заполняются поля «Код региона», «Код ППЭ», автоматически заполняются только поля «Код предмета», «Название предмета», «Дата проведения ЕГЭ».</w:t>
      </w:r>
    </w:p>
    <w:p>
      <w:pPr>
        <w:pStyle w:val="Normal"/>
        <w:ind w:firstLine="709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</w:r>
    </w:p>
    <w:p>
      <w:pPr>
        <w:pStyle w:val="Heading1"/>
        <w:ind w:firstLine="709" w:left="0"/>
        <w:jc w:val="right"/>
        <w:rPr>
          <w:b w:val="false"/>
        </w:rPr>
      </w:pPr>
      <w:r>
        <w:rPr/>
        <w:t>Таблица 1. Указание по заполнению участником экзамена полей верхней части бланка регистрации</w:t>
      </w:r>
    </w:p>
    <w:p>
      <w:pPr>
        <w:pStyle w:val="Normal"/>
        <w:ind w:firstLine="709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Style w:val="TableNormal"/>
        <w:tblW w:w="9356" w:type="dxa"/>
        <w:jc w:val="center"/>
        <w:tblInd w:w="0" w:type="dxa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1e0" w:noHBand="0" w:noVBand="0" w:firstColumn="1" w:lastRow="1" w:lastColumn="1" w:firstRow="1"/>
      </w:tblPr>
      <w:tblGrid>
        <w:gridCol w:w="4962"/>
        <w:gridCol w:w="4393"/>
      </w:tblGrid>
      <w:tr>
        <w:trPr>
          <w:trHeight w:val="702" w:hRule="atLeast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bidi="ar-SA"/>
              </w:rPr>
              <w:t>Поля, заполняемые участником экзамена по указанию организатора в аудитории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rPr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  <w:lang w:val="en-US" w:bidi="ar-SA"/>
              </w:rPr>
              <w:t>Комментарии по заполнению</w:t>
            </w:r>
          </w:p>
        </w:tc>
      </w:tr>
      <w:tr>
        <w:trPr>
          <w:trHeight w:val="878" w:hRule="atLeast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bidi="ar-SA"/>
              </w:rPr>
              <w:t>Код региона (заполняется участником экзамена по указанию организатора в аудитории, кроме случаев автоматического заполнения при печати бланков)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bidi="ar-SA"/>
              </w:rPr>
              <w:t>Указывается код субъекта Российской Федерации в соответствии с кодировкой федерального справочника субъектов Российской Федерации</w:t>
            </w:r>
          </w:p>
        </w:tc>
      </w:tr>
      <w:tr>
        <w:trPr>
          <w:trHeight w:val="1384" w:hRule="atLeast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rPr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  <w:lang w:val="en-US" w:bidi="ar-SA"/>
              </w:rPr>
              <w:t>Код образовательной организации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bidi="ar-SA"/>
              </w:rPr>
              <w:t>Указывается код образовательной организации, в которой обучается участник ГИА, в соответствии с кодировкой, принятой в субъекте Федерации;</w:t>
            </w:r>
          </w:p>
          <w:p>
            <w:pPr>
              <w:pStyle w:val="TableParagraph"/>
              <w:suppressAutoHyphens w:val="true"/>
              <w:spacing w:before="0" w:after="0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bidi="ar-SA"/>
              </w:rPr>
              <w:t>код образовательной организации, в которой участник ЕГЭ получил уведомление на ЕГЭ</w:t>
            </w:r>
          </w:p>
        </w:tc>
      </w:tr>
      <w:tr>
        <w:trPr>
          <w:trHeight w:val="1384" w:hRule="atLeast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rPr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  <w:lang w:val="en-US" w:bidi="ar-SA"/>
              </w:rPr>
              <w:t>Класс: номер, буква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bidi="ar-SA"/>
              </w:rPr>
              <w:t>Участником ГИА указывается информация о классе, в котором он обучается. Участниками ЕГЭ не заполняется.</w:t>
            </w:r>
          </w:p>
        </w:tc>
      </w:tr>
      <w:tr>
        <w:trPr>
          <w:trHeight w:val="1384" w:hRule="atLeast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bidi="ar-SA"/>
              </w:rPr>
              <w:t>Код ППЭ (заполняется участником экзамена по указанию организатора в аудитории, кроме случаев автоматического заполнения при печати бланков)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bidi="ar-SA"/>
              </w:rPr>
              <w:t>Указывается в соответствии с кодировкой ППЭ, принятой в субъекте Российской Федерации</w:t>
            </w:r>
          </w:p>
        </w:tc>
      </w:tr>
      <w:tr>
        <w:trPr>
          <w:trHeight w:val="1384" w:hRule="atLeast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bidi="ar-SA"/>
              </w:rPr>
              <w:t>Номер аудитории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bidi="ar-SA"/>
              </w:rPr>
              <w:t>Указывается номер аудитории, в которой проводится ЕГЭ</w:t>
            </w:r>
          </w:p>
        </w:tc>
      </w:tr>
    </w:tbl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1"/>
        <w:ind w:firstLine="709" w:left="0"/>
        <w:jc w:val="right"/>
        <w:rPr/>
      </w:pPr>
      <w:r>
        <w:rPr/>
        <w:t>Таблица 2. Названия и коды предметов</w:t>
      </w:r>
    </w:p>
    <w:tbl>
      <w:tblPr>
        <w:tblStyle w:val="TableNormal"/>
        <w:tblpPr w:vertAnchor="text" w:horzAnchor="margin" w:tblpXSpec="center" w:leftFromText="180" w:rightFromText="180" w:tblpY="175"/>
        <w:tblW w:w="9361" w:type="dxa"/>
        <w:jc w:val="center"/>
        <w:tblInd w:w="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 w:noHBand="0" w:noVBand="0" w:firstColumn="1" w:lastRow="1" w:lastColumn="1" w:firstRow="1"/>
      </w:tblPr>
      <w:tblGrid>
        <w:gridCol w:w="2982"/>
        <w:gridCol w:w="1276"/>
        <w:gridCol w:w="3118"/>
        <w:gridCol w:w="1984"/>
      </w:tblGrid>
      <w:tr>
        <w:trPr>
          <w:trHeight w:val="761" w:hRule="atLeast"/>
        </w:trPr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rPr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  <w:lang w:val="en-US" w:bidi="ar-SA"/>
              </w:rPr>
              <w:t>Название предмета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rPr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  <w:lang w:val="en-US" w:bidi="ar-SA"/>
              </w:rPr>
              <w:t>Код предмета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rPr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  <w:lang w:val="en-US" w:bidi="ar-SA"/>
              </w:rPr>
              <w:t>Название предмета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rPr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  <w:lang w:val="en-US" w:bidi="ar-SA"/>
              </w:rPr>
              <w:t>Код предмета</w:t>
            </w:r>
          </w:p>
        </w:tc>
      </w:tr>
      <w:tr>
        <w:trPr>
          <w:trHeight w:val="481" w:hRule="atLeast"/>
        </w:trPr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rPr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  <w:lang w:val="en-US" w:bidi="ar-SA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rPr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  <w:lang w:val="en-US" w:bidi="ar-SA"/>
              </w:rPr>
              <w:t>01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rPr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  <w:lang w:val="en-US" w:bidi="ar-SA"/>
              </w:rPr>
              <w:t>Французск</w:t>
            </w:r>
            <w:r>
              <w:rPr>
                <w:kern w:val="0"/>
                <w:sz w:val="26"/>
                <w:szCs w:val="26"/>
                <w:lang w:val="ru-RU" w:bidi="ar-SA"/>
              </w:rPr>
              <w:t>и</w:t>
            </w:r>
            <w:r>
              <w:rPr>
                <w:kern w:val="0"/>
                <w:sz w:val="26"/>
                <w:szCs w:val="26"/>
                <w:lang w:val="en-US" w:bidi="ar-SA"/>
              </w:rPr>
              <w:t>й язык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rPr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  <w:lang w:val="en-US" w:bidi="ar-SA"/>
              </w:rPr>
              <w:t>11</w:t>
            </w:r>
          </w:p>
        </w:tc>
      </w:tr>
      <w:tr>
        <w:trPr>
          <w:trHeight w:val="431" w:hRule="atLeast"/>
        </w:trPr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rPr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  <w:lang w:val="en-US" w:bidi="ar-SA"/>
              </w:rPr>
              <w:t>Математика профильная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rPr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  <w:lang w:val="en-US" w:bidi="ar-SA"/>
              </w:rPr>
              <w:t>02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rPr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  <w:lang w:val="en-US" w:bidi="ar-SA"/>
              </w:rPr>
              <w:t>Обществознание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rPr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  <w:lang w:val="en-US" w:bidi="ar-SA"/>
              </w:rPr>
              <w:t>12</w:t>
            </w:r>
          </w:p>
        </w:tc>
      </w:tr>
      <w:tr>
        <w:trPr>
          <w:trHeight w:val="396" w:hRule="atLeast"/>
        </w:trPr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rPr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  <w:lang w:val="en-US" w:bidi="ar-SA"/>
              </w:rPr>
              <w:t>Математика базовая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rPr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  <w:lang w:val="en-US" w:bidi="ar-SA"/>
              </w:rPr>
              <w:t>22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rPr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  <w:lang w:val="en-US" w:bidi="ar-SA"/>
              </w:rPr>
              <w:t>Испанский язык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rPr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  <w:lang w:val="en-US" w:bidi="ar-SA"/>
              </w:rPr>
              <w:t>13</w:t>
            </w:r>
          </w:p>
        </w:tc>
      </w:tr>
      <w:tr>
        <w:trPr>
          <w:trHeight w:val="430" w:hRule="atLeast"/>
        </w:trPr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rPr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  <w:lang w:val="en-US" w:bidi="ar-SA"/>
              </w:rPr>
              <w:t>Физика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rPr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  <w:lang w:val="en-US" w:bidi="ar-SA"/>
              </w:rPr>
              <w:t>03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rPr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  <w:lang w:val="en-US" w:bidi="ar-SA"/>
              </w:rPr>
              <w:t>Китайский язык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rPr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  <w:lang w:val="en-US" w:bidi="ar-SA"/>
              </w:rPr>
              <w:t>14</w:t>
            </w:r>
          </w:p>
        </w:tc>
      </w:tr>
      <w:tr>
        <w:trPr>
          <w:trHeight w:val="421" w:hRule="atLeast"/>
        </w:trPr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rPr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  <w:lang w:val="en-US" w:bidi="ar-SA"/>
              </w:rPr>
              <w:t>Химия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rPr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  <w:lang w:val="en-US" w:bidi="ar-SA"/>
              </w:rPr>
              <w:t>04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rPr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  <w:lang w:val="en-US" w:bidi="ar-SA"/>
              </w:rPr>
              <w:t>Литература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rPr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  <w:lang w:val="en-US" w:bidi="ar-SA"/>
              </w:rPr>
              <w:t>18</w:t>
            </w:r>
          </w:p>
        </w:tc>
      </w:tr>
      <w:tr>
        <w:trPr>
          <w:trHeight w:val="726" w:hRule="atLeast"/>
        </w:trPr>
        <w:tc>
          <w:tcPr>
            <w:tcW w:w="298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rPr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  <w:lang w:val="en-US" w:bidi="ar-SA"/>
              </w:rPr>
              <w:t>Информатика (КЕГЭ)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rPr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  <w:lang w:val="en-US" w:bidi="ar-SA"/>
              </w:rPr>
              <w:t>25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en-US" w:bidi="ar-SA"/>
              </w:rPr>
              <w:t>Английский язык</w:t>
            </w:r>
          </w:p>
          <w:p>
            <w:pPr>
              <w:pStyle w:val="TableParagraph"/>
              <w:suppressAutoHyphens w:val="true"/>
              <w:spacing w:before="0" w:after="0"/>
              <w:rPr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  <w:lang w:val="en-US" w:bidi="ar-SA"/>
              </w:rPr>
              <w:t>(устный экзамен)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rPr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  <w:lang w:val="en-US" w:bidi="ar-SA"/>
              </w:rPr>
              <w:t>29</w:t>
            </w:r>
          </w:p>
        </w:tc>
      </w:tr>
      <w:tr>
        <w:trPr>
          <w:trHeight w:val="700" w:hRule="atLeast"/>
        </w:trPr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rPr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  <w:lang w:val="en-US" w:bidi="ar-SA"/>
              </w:rPr>
              <w:t>Биология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rPr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  <w:lang w:val="en-US" w:bidi="ar-SA"/>
              </w:rPr>
              <w:t>06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en-US" w:bidi="ar-SA"/>
              </w:rPr>
              <w:t>Немецкий язык</w:t>
            </w:r>
          </w:p>
          <w:p>
            <w:pPr>
              <w:pStyle w:val="TableParagraph"/>
              <w:suppressAutoHyphens w:val="true"/>
              <w:spacing w:before="0" w:after="0"/>
              <w:rPr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  <w:lang w:val="en-US" w:bidi="ar-SA"/>
              </w:rPr>
              <w:t>(устный экзамен)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rPr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  <w:lang w:val="en-US" w:bidi="ar-SA"/>
              </w:rPr>
              <w:t>30</w:t>
            </w:r>
          </w:p>
        </w:tc>
      </w:tr>
      <w:tr>
        <w:trPr>
          <w:trHeight w:val="693" w:hRule="atLeast"/>
        </w:trPr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rPr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  <w:lang w:val="en-US" w:bidi="ar-SA"/>
              </w:rPr>
              <w:t>История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rPr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  <w:lang w:val="en-US" w:bidi="ar-SA"/>
              </w:rPr>
              <w:t>07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en-US" w:bidi="ar-SA"/>
              </w:rPr>
              <w:t>Французский язык</w:t>
            </w:r>
          </w:p>
          <w:p>
            <w:pPr>
              <w:pStyle w:val="TableParagraph"/>
              <w:suppressAutoHyphens w:val="true"/>
              <w:spacing w:before="0" w:after="0"/>
              <w:rPr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  <w:lang w:val="en-US" w:bidi="ar-SA"/>
              </w:rPr>
              <w:t>(устный экзамен)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rPr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  <w:lang w:val="en-US" w:bidi="ar-SA"/>
              </w:rPr>
              <w:t>31</w:t>
            </w:r>
          </w:p>
        </w:tc>
      </w:tr>
      <w:tr>
        <w:trPr>
          <w:trHeight w:val="690" w:hRule="atLeast"/>
        </w:trPr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rPr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  <w:lang w:val="en-US" w:bidi="ar-SA"/>
              </w:rPr>
              <w:t>География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rPr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  <w:lang w:val="en-US" w:bidi="ar-SA"/>
              </w:rPr>
              <w:t>08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en-US" w:bidi="ar-SA"/>
              </w:rPr>
              <w:t>Испанский язык</w:t>
            </w:r>
          </w:p>
          <w:p>
            <w:pPr>
              <w:pStyle w:val="TableParagraph"/>
              <w:suppressAutoHyphens w:val="true"/>
              <w:spacing w:before="0" w:after="0"/>
              <w:rPr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  <w:lang w:val="en-US" w:bidi="ar-SA"/>
              </w:rPr>
              <w:t>(устный экзамен)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rPr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  <w:lang w:val="en-US" w:bidi="ar-SA"/>
              </w:rPr>
              <w:t>33</w:t>
            </w:r>
          </w:p>
        </w:tc>
      </w:tr>
      <w:tr>
        <w:trPr>
          <w:trHeight w:val="701" w:hRule="atLeast"/>
        </w:trPr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rPr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  <w:lang w:val="en-US" w:bidi="ar-SA"/>
              </w:rPr>
              <w:t>Английский язык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rPr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  <w:lang w:val="en-US" w:bidi="ar-SA"/>
              </w:rPr>
              <w:t>09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en-US" w:bidi="ar-SA"/>
              </w:rPr>
              <w:t>Китайский язык</w:t>
            </w:r>
          </w:p>
          <w:p>
            <w:pPr>
              <w:pStyle w:val="TableParagraph"/>
              <w:suppressAutoHyphens w:val="true"/>
              <w:spacing w:before="0" w:after="0"/>
              <w:rPr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  <w:lang w:val="en-US" w:bidi="ar-SA"/>
              </w:rPr>
              <w:t>(устный экзамен)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rPr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  <w:lang w:val="en-US" w:bidi="ar-SA"/>
              </w:rPr>
              <w:t>34</w:t>
            </w:r>
          </w:p>
        </w:tc>
      </w:tr>
      <w:tr>
        <w:trPr>
          <w:trHeight w:val="558" w:hRule="atLeast"/>
        </w:trPr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rPr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  <w:lang w:val="en-US" w:bidi="ar-SA"/>
              </w:rPr>
              <w:t>Немецкий язык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rPr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  <w:lang w:val="en-US" w:bidi="ar-SA"/>
              </w:rPr>
              <w:t>10</w:t>
            </w:r>
          </w:p>
        </w:tc>
        <w:tc>
          <w:tcPr>
            <w:tcW w:w="5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</w:tbl>
    <w:p>
      <w:pPr>
        <w:pStyle w:val="Normal"/>
        <w:ind w:firstLine="709"/>
        <w:jc w:val="both"/>
        <w:rPr>
          <w:sz w:val="26"/>
          <w:szCs w:val="26"/>
        </w:rPr>
      </w:pPr>
      <w:r/>
      <w:r>
        <w:rPr>
          <w:sz w:val="26"/>
          <w:szCs w:val="26"/>
        </w:rPr>
        <w:t>Поля средней части бланка регистрации «Сведения об участнике» (рис.3) заполняются участником экзамена самостоятельно (см. Таблицу 3) в соответствии с документом, удостоверяющим его личность.</w:t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firstLine="709"/>
        <w:rPr>
          <w:i/>
          <w:i/>
          <w:sz w:val="26"/>
          <w:szCs w:val="26"/>
        </w:rPr>
      </w:pPr>
      <w:r>
        <w:rPr>
          <w:i/>
          <w:sz w:val="26"/>
          <w:szCs w:val="26"/>
        </w:rPr>
      </w:r>
    </w:p>
    <w:p>
      <w:pPr>
        <w:pStyle w:val="Normal"/>
        <w:ind w:firstLine="709"/>
        <w:rPr>
          <w:i/>
          <w:i/>
          <w:sz w:val="26"/>
          <w:szCs w:val="26"/>
        </w:rPr>
      </w:pPr>
      <w:r>
        <w:rPr>
          <w:i/>
          <w:sz w:val="26"/>
          <w:szCs w:val="26"/>
        </w:rPr>
      </w:r>
    </w:p>
    <w:p>
      <w:pPr>
        <w:pStyle w:val="Normal"/>
        <w:ind w:firstLine="709"/>
        <w:rPr>
          <w:i/>
          <w:i/>
          <w:sz w:val="26"/>
          <w:szCs w:val="26"/>
        </w:rPr>
      </w:pPr>
      <w:r>
        <w:rPr>
          <w:i/>
          <w:sz w:val="26"/>
          <w:szCs w:val="26"/>
        </w:rPr>
      </w:r>
    </w:p>
    <w:p>
      <w:pPr>
        <w:pStyle w:val="Normal"/>
        <w:ind w:firstLine="709"/>
        <w:rPr>
          <w:i/>
          <w:i/>
          <w:sz w:val="26"/>
          <w:szCs w:val="26"/>
        </w:rPr>
      </w:pPr>
      <w:r>
        <w:rPr>
          <w:i/>
          <w:sz w:val="26"/>
          <w:szCs w:val="26"/>
        </w:rPr>
      </w:r>
    </w:p>
    <w:p>
      <w:pPr>
        <w:pStyle w:val="Normal"/>
        <w:ind w:firstLine="709"/>
        <w:rPr>
          <w:i/>
          <w:i/>
          <w:sz w:val="26"/>
          <w:szCs w:val="26"/>
        </w:rPr>
      </w:pPr>
      <w:r>
        <w:rPr>
          <w:i/>
          <w:sz w:val="26"/>
          <w:szCs w:val="26"/>
        </w:rPr>
        <w:drawing>
          <wp:anchor behindDoc="1" distT="0" distB="0" distL="0" distR="0" simplePos="0" locked="0" layoutInCell="0" allowOverlap="1" relativeHeight="13">
            <wp:simplePos x="0" y="0"/>
            <wp:positionH relativeFrom="page">
              <wp:posOffset>1119505</wp:posOffset>
            </wp:positionH>
            <wp:positionV relativeFrom="paragraph">
              <wp:posOffset>193040</wp:posOffset>
            </wp:positionV>
            <wp:extent cx="5878195" cy="1176655"/>
            <wp:effectExtent l="0" t="0" r="0" b="0"/>
            <wp:wrapTopAndBottom/>
            <wp:docPr id="5" name="Image 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6" descr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8195" cy="1176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ind w:firstLine="709"/>
        <w:rPr>
          <w:i/>
          <w:i/>
          <w:sz w:val="26"/>
          <w:szCs w:val="26"/>
        </w:rPr>
      </w:pPr>
      <w:r>
        <w:rPr>
          <w:i/>
          <w:sz w:val="26"/>
          <w:szCs w:val="26"/>
        </w:rPr>
      </w:r>
    </w:p>
    <w:p>
      <w:pPr>
        <w:pStyle w:val="Normal"/>
        <w:ind w:firstLine="709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Рис. 3. Сведения об участнике</w:t>
      </w:r>
    </w:p>
    <w:p>
      <w:pPr>
        <w:pStyle w:val="Normal"/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firstLine="709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ind w:firstLine="709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Таблица 3. Указания по заполнению полей «Сведения об участнике»</w:t>
      </w:r>
    </w:p>
    <w:tbl>
      <w:tblPr>
        <w:tblStyle w:val="TableNormal"/>
        <w:tblW w:w="9356" w:type="dxa"/>
        <w:jc w:val="center"/>
        <w:tblInd w:w="0" w:type="dxa"/>
        <w:tblLayout w:type="fixed"/>
        <w:tblCellMar>
          <w:top w:w="0" w:type="dxa"/>
          <w:left w:w="85" w:type="dxa"/>
          <w:bottom w:w="0" w:type="dxa"/>
          <w:right w:w="85" w:type="dxa"/>
        </w:tblCellMar>
        <w:tblLook w:val="01e0" w:noHBand="0" w:noVBand="0" w:firstColumn="1" w:lastRow="1" w:lastColumn="1" w:firstRow="1"/>
      </w:tblPr>
      <w:tblGrid>
        <w:gridCol w:w="2440"/>
        <w:gridCol w:w="6915"/>
      </w:tblGrid>
      <w:tr>
        <w:trPr>
          <w:trHeight w:val="878" w:hRule="atLeast"/>
        </w:trPr>
        <w:tc>
          <w:tcPr>
            <w:tcW w:w="244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bidi="ar-SA"/>
              </w:rPr>
              <w:t>Поля, самостоятельно заполняемые участником экзамена</w:t>
            </w:r>
          </w:p>
        </w:tc>
        <w:tc>
          <w:tcPr>
            <w:tcW w:w="691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rPr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  <w:lang w:val="en-US" w:bidi="ar-SA"/>
              </w:rPr>
              <w:t>Комментарии по заполнению</w:t>
            </w:r>
          </w:p>
        </w:tc>
      </w:tr>
      <w:tr>
        <w:trPr>
          <w:trHeight w:val="371" w:hRule="atLeast"/>
        </w:trPr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rPr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  <w:lang w:val="en-US" w:bidi="ar-SA"/>
              </w:rPr>
              <w:t>Фамилия</w:t>
            </w:r>
          </w:p>
        </w:tc>
        <w:tc>
          <w:tcPr>
            <w:tcW w:w="6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bidi="ar-SA"/>
              </w:rPr>
              <w:t>Вносится информация из документа, удостоверяющего личность участника экзамена</w:t>
            </w:r>
          </w:p>
        </w:tc>
      </w:tr>
      <w:tr>
        <w:trPr>
          <w:trHeight w:val="374" w:hRule="atLeast"/>
        </w:trPr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rPr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  <w:lang w:val="en-US" w:bidi="ar-SA"/>
              </w:rPr>
              <w:t>Имя</w:t>
            </w:r>
          </w:p>
        </w:tc>
        <w:tc>
          <w:tcPr>
            <w:tcW w:w="691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>
          <w:trHeight w:val="371" w:hRule="atLeast"/>
        </w:trPr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rPr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  <w:lang w:val="en-US" w:bidi="ar-SA"/>
              </w:rPr>
              <w:t>Отчество (при наличии)</w:t>
            </w:r>
          </w:p>
        </w:tc>
        <w:tc>
          <w:tcPr>
            <w:tcW w:w="691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>
          <w:trHeight w:val="626" w:hRule="atLeast"/>
        </w:trPr>
        <w:tc>
          <w:tcPr>
            <w:tcW w:w="2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rPr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  <w:lang w:val="en-US" w:bidi="ar-SA"/>
              </w:rPr>
              <w:t>Документ</w:t>
            </w: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bidi="ar-SA"/>
              </w:rPr>
              <w:t>Документ, удостоверяющий личность</w:t>
            </w:r>
          </w:p>
        </w:tc>
      </w:tr>
      <w:tr>
        <w:trPr>
          <w:trHeight w:val="880" w:hRule="atLeast"/>
        </w:trPr>
        <w:tc>
          <w:tcPr>
            <w:tcW w:w="24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</w: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bidi="ar-SA"/>
              </w:rPr>
              <w:t>Серия</w:t>
            </w:r>
            <w:r>
              <w:rPr>
                <w:kern w:val="0"/>
                <w:sz w:val="26"/>
                <w:szCs w:val="26"/>
                <w:vertAlign w:val="superscript"/>
                <w:lang w:val="ru-RU" w:bidi="ar-SA"/>
              </w:rPr>
              <w:t>1</w:t>
            </w:r>
          </w:p>
          <w:p>
            <w:pPr>
              <w:pStyle w:val="TableParagraph"/>
              <w:suppressAutoHyphens w:val="true"/>
              <w:spacing w:before="0" w:after="0"/>
              <w:rPr>
                <w:i/>
                <w:i/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  <w:lang w:val="ru-RU" w:bidi="ar-SA"/>
              </w:rPr>
              <w:t xml:space="preserve">В поле записываются арабские цифры серии без пробелов, начиная с первой клетки. </w:t>
            </w:r>
            <w:r>
              <w:rPr>
                <w:i/>
                <w:kern w:val="0"/>
                <w:sz w:val="26"/>
                <w:szCs w:val="26"/>
                <w:lang w:val="en-US" w:bidi="ar-SA"/>
              </w:rPr>
              <w:t>Например, 4600</w:t>
            </w:r>
          </w:p>
        </w:tc>
      </w:tr>
      <w:tr>
        <w:trPr>
          <w:trHeight w:val="1132" w:hRule="atLeast"/>
        </w:trPr>
        <w:tc>
          <w:tcPr>
            <w:tcW w:w="24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bidi="ar-SA"/>
              </w:rPr>
              <w:t>Серия</w:t>
            </w:r>
            <w:r>
              <w:rPr>
                <w:kern w:val="0"/>
                <w:sz w:val="26"/>
                <w:szCs w:val="26"/>
                <w:vertAlign w:val="superscript"/>
                <w:lang w:val="ru-RU" w:bidi="ar-SA"/>
              </w:rPr>
              <w:t>2</w:t>
            </w:r>
          </w:p>
          <w:p>
            <w:pPr>
              <w:pStyle w:val="TableParagraph"/>
              <w:suppressAutoHyphens w:val="true"/>
              <w:spacing w:before="0" w:after="0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bidi="ar-SA"/>
              </w:rPr>
              <w:t xml:space="preserve">В поле записываются буквы (кириллица или латиница) и/или цифры (арабские или римские) серии без пробелов, начиная с первой клетки, </w:t>
            </w:r>
            <w:r>
              <w:rPr>
                <w:i/>
                <w:kern w:val="0"/>
                <w:sz w:val="26"/>
                <w:szCs w:val="26"/>
                <w:lang w:val="ru-RU" w:bidi="ar-SA"/>
              </w:rPr>
              <w:t xml:space="preserve">Например, НП, </w:t>
            </w:r>
            <w:r>
              <w:rPr>
                <w:kern w:val="0"/>
                <w:sz w:val="26"/>
                <w:szCs w:val="26"/>
                <w:lang w:val="en-US" w:bidi="ar-SA"/>
              </w:rPr>
              <w:t>PX</w:t>
            </w:r>
            <w:r>
              <w:rPr>
                <w:kern w:val="0"/>
                <w:sz w:val="26"/>
                <w:szCs w:val="26"/>
                <w:lang w:val="ru-RU" w:bidi="ar-SA"/>
              </w:rPr>
              <w:t xml:space="preserve">, </w:t>
            </w:r>
            <w:r>
              <w:rPr>
                <w:kern w:val="0"/>
                <w:sz w:val="26"/>
                <w:szCs w:val="26"/>
                <w:lang w:val="en-US" w:bidi="ar-SA"/>
              </w:rPr>
              <w:t>III</w:t>
            </w:r>
            <w:r>
              <w:rPr>
                <w:kern w:val="0"/>
                <w:sz w:val="26"/>
                <w:szCs w:val="26"/>
                <w:lang w:val="ru-RU" w:bidi="ar-SA"/>
              </w:rPr>
              <w:t>-АМ</w:t>
            </w:r>
          </w:p>
        </w:tc>
      </w:tr>
      <w:tr>
        <w:trPr>
          <w:trHeight w:val="878" w:hRule="atLeast"/>
        </w:trPr>
        <w:tc>
          <w:tcPr>
            <w:tcW w:w="24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</w: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bidi="ar-SA"/>
              </w:rPr>
              <w:t>Номер</w:t>
            </w:r>
          </w:p>
          <w:p>
            <w:pPr>
              <w:pStyle w:val="TableParagraph"/>
              <w:suppressAutoHyphens w:val="true"/>
              <w:spacing w:before="0" w:after="0"/>
              <w:rPr>
                <w:i/>
                <w:i/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  <w:lang w:val="ru-RU" w:bidi="ar-SA"/>
              </w:rPr>
              <w:t xml:space="preserve">Записываются арабские цифры номера без пробелов, начиная с первой клетки. </w:t>
            </w:r>
            <w:r>
              <w:rPr>
                <w:i/>
                <w:kern w:val="0"/>
                <w:sz w:val="26"/>
                <w:szCs w:val="26"/>
                <w:lang w:val="en-US" w:bidi="ar-SA"/>
              </w:rPr>
              <w:t>Например, 918762</w:t>
            </w:r>
          </w:p>
        </w:tc>
      </w:tr>
    </w:tbl>
    <w:p>
      <w:pPr>
        <w:pStyle w:val="Normal"/>
        <w:ind w:firstLine="70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средней части бланка регистрации расположены (рис. 4.1, рис. 4.2, рис. 4.3):</w:t>
      </w:r>
    </w:p>
    <w:p>
      <w:pPr>
        <w:pStyle w:val="Normal"/>
        <w:ind w:firstLine="709"/>
        <w:rPr>
          <w:sz w:val="26"/>
          <w:szCs w:val="26"/>
        </w:rPr>
      </w:pPr>
      <w:r>
        <w:rPr>
          <w:sz w:val="26"/>
          <w:szCs w:val="26"/>
        </w:rPr>
        <w:t>краткая памятка о порядке проведения ЕГЭ;</w:t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краткая инструкция по определению целостности и качества печати индивидуального комплекта участника экзамена</w:t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ИЛИ</w:t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краткая инструкция по определению качества печати бланка регистрации (при проведении ЕГЭ по иностранным языкам (устная часть), КЕГЭ);</w:t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порядок действий по окончании выполнения работы (при проведении КЕГЭ);</w:t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поле для подписи участника экзамена об ознакомлении с порядком</w:t>
      </w:r>
      <w:r>
        <w:rPr>
          <w:spacing w:val="-12"/>
          <w:sz w:val="26"/>
          <w:szCs w:val="26"/>
        </w:rPr>
        <w:t xml:space="preserve"> </w:t>
      </w:r>
      <w:r>
        <w:rPr>
          <w:sz w:val="26"/>
          <w:szCs w:val="26"/>
        </w:rPr>
        <w:t>проведения ЕГЭ;</w:t>
      </w:r>
    </w:p>
    <w:p>
      <w:pPr>
        <w:pStyle w:val="BodyText"/>
        <w:tabs>
          <w:tab w:val="clear" w:pos="709"/>
          <w:tab w:val="left" w:pos="1215" w:leader="none"/>
          <w:tab w:val="left" w:pos="1901" w:leader="none"/>
          <w:tab w:val="left" w:pos="3216" w:leader="none"/>
          <w:tab w:val="left" w:pos="4952" w:leader="none"/>
          <w:tab w:val="left" w:pos="6067" w:leader="none"/>
          <w:tab w:val="left" w:pos="7573" w:leader="none"/>
          <w:tab w:val="left" w:pos="7643" w:leader="none"/>
          <w:tab w:val="left" w:pos="8943" w:leader="none"/>
        </w:tabs>
        <w:overflowPunct w:val="false"/>
        <w:ind w:firstLine="709"/>
        <w:jc w:val="both"/>
        <w:rPr/>
      </w:pPr>
      <w:r>
        <w:rPr/>
        <w:t xml:space="preserve">поле для внесения контрольной суммы, заполнение которого </w:t>
      </w:r>
      <w:r>
        <w:rPr>
          <w:spacing w:val="-1"/>
        </w:rPr>
        <w:t xml:space="preserve">является </w:t>
      </w:r>
      <w:r>
        <w:rPr/>
        <w:t>подтверждением</w:t>
      </w:r>
      <w:r>
        <w:rPr>
          <w:spacing w:val="36"/>
        </w:rPr>
        <w:t xml:space="preserve"> </w:t>
      </w:r>
      <w:r>
        <w:rPr/>
        <w:t>участником</w:t>
      </w:r>
      <w:r>
        <w:rPr>
          <w:spacing w:val="36"/>
        </w:rPr>
        <w:t xml:space="preserve"> </w:t>
      </w:r>
      <w:r>
        <w:rPr/>
        <w:t>экзамена</w:t>
      </w:r>
      <w:r>
        <w:rPr>
          <w:spacing w:val="35"/>
        </w:rPr>
        <w:t xml:space="preserve"> </w:t>
      </w:r>
      <w:r>
        <w:rPr/>
        <w:t>факта,</w:t>
      </w:r>
      <w:r>
        <w:rPr>
          <w:spacing w:val="35"/>
        </w:rPr>
        <w:t xml:space="preserve"> </w:t>
      </w:r>
      <w:r>
        <w:rPr/>
        <w:t>что</w:t>
      </w:r>
      <w:r>
        <w:rPr>
          <w:spacing w:val="35"/>
        </w:rPr>
        <w:t xml:space="preserve"> </w:t>
      </w:r>
      <w:r>
        <w:rPr/>
        <w:t>все</w:t>
      </w:r>
      <w:r>
        <w:rPr>
          <w:spacing w:val="34"/>
        </w:rPr>
        <w:t xml:space="preserve"> </w:t>
      </w:r>
      <w:r>
        <w:rPr/>
        <w:t>ответы на</w:t>
      </w:r>
      <w:r>
        <w:rPr>
          <w:spacing w:val="22"/>
        </w:rPr>
        <w:t xml:space="preserve"> </w:t>
      </w:r>
      <w:r>
        <w:rPr/>
        <w:t>задания</w:t>
      </w:r>
      <w:r>
        <w:rPr>
          <w:spacing w:val="29"/>
        </w:rPr>
        <w:t xml:space="preserve"> </w:t>
      </w:r>
      <w:r>
        <w:rPr/>
        <w:t>КИМ</w:t>
      </w:r>
      <w:r>
        <w:rPr>
          <w:spacing w:val="40"/>
        </w:rPr>
        <w:t xml:space="preserve"> </w:t>
      </w:r>
      <w:r>
        <w:rPr/>
        <w:t>для</w:t>
      </w:r>
      <w:r>
        <w:rPr>
          <w:w w:val="99"/>
        </w:rPr>
        <w:t xml:space="preserve"> </w:t>
      </w:r>
      <w:r>
        <w:rPr/>
        <w:t>проведения ЕГЭ по информатике</w:t>
      </w:r>
      <w:r>
        <w:rPr>
          <w:spacing w:val="29"/>
        </w:rPr>
        <w:t xml:space="preserve"> </w:t>
      </w:r>
      <w:r>
        <w:rPr/>
        <w:t>зафиксированы станцией КЕГЭ полностью и без искажений (поле заполняется только при</w:t>
      </w:r>
      <w:r>
        <w:rPr>
          <w:spacing w:val="-17"/>
        </w:rPr>
        <w:t xml:space="preserve"> </w:t>
      </w:r>
      <w:r>
        <w:rPr/>
        <w:t>проведении КЕГЭ, на остальных экзаменах не используется).</w:t>
      </w:r>
    </w:p>
    <w:p>
      <w:pPr>
        <w:pStyle w:val="BodyText"/>
        <w:tabs>
          <w:tab w:val="clear" w:pos="709"/>
          <w:tab w:val="left" w:pos="1215" w:leader="none"/>
          <w:tab w:val="left" w:pos="1901" w:leader="none"/>
          <w:tab w:val="left" w:pos="3216" w:leader="none"/>
          <w:tab w:val="left" w:pos="4952" w:leader="none"/>
          <w:tab w:val="left" w:pos="6067" w:leader="none"/>
          <w:tab w:val="left" w:pos="7573" w:leader="none"/>
          <w:tab w:val="left" w:pos="7643" w:leader="none"/>
          <w:tab w:val="left" w:pos="8943" w:leader="none"/>
        </w:tabs>
        <w:overflowPunct w:val="false"/>
        <w:ind w:firstLine="709"/>
        <w:jc w:val="both"/>
        <w:rPr/>
      </w:pPr>
      <w:r>
        <w:drawing>
          <wp:anchor behindDoc="0" distT="0" distB="0" distL="114300" distR="114300" simplePos="0" locked="0" layoutInCell="0" allowOverlap="1" relativeHeight="28">
            <wp:simplePos x="0" y="0"/>
            <wp:positionH relativeFrom="column">
              <wp:posOffset>-8255</wp:posOffset>
            </wp:positionH>
            <wp:positionV relativeFrom="paragraph">
              <wp:posOffset>757555</wp:posOffset>
            </wp:positionV>
            <wp:extent cx="5939790" cy="3225165"/>
            <wp:effectExtent l="0" t="0" r="0" b="0"/>
            <wp:wrapTopAndBottom/>
            <wp:docPr id="6" name="image6.png" descr="D:\мониторинг\Бланки ЕГЭ\2024\ЕГЭ\PNG\Бланки ЕГЭ полный комплект чб 2024 версия 1.3.1.1_Страница_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6.png" descr="D:\мониторинг\Бланки ЕГЭ\2024\ЕГЭ\PNG\Бланки ЕГЭ полный комплект чб 2024 версия 1.3.1.1_Страница_01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225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>поле для подписи ответственного организатора о соответствии контрольной суммы на станции КЕГЭ и бланке регистрации (поле заполняется только при проведении КЕГЭ, на остальных экзаменах не используется).</w:t>
      </w:r>
    </w:p>
    <w:p>
      <w:pPr>
        <w:pStyle w:val="BodyText"/>
        <w:tabs>
          <w:tab w:val="clear" w:pos="709"/>
          <w:tab w:val="left" w:pos="1215" w:leader="none"/>
          <w:tab w:val="left" w:pos="1901" w:leader="none"/>
          <w:tab w:val="left" w:pos="3216" w:leader="none"/>
          <w:tab w:val="left" w:pos="4952" w:leader="none"/>
          <w:tab w:val="left" w:pos="6067" w:leader="none"/>
          <w:tab w:val="left" w:pos="7573" w:leader="none"/>
          <w:tab w:val="left" w:pos="7643" w:leader="none"/>
          <w:tab w:val="left" w:pos="8943" w:leader="none"/>
        </w:tabs>
        <w:overflowPunct w:val="false"/>
        <w:ind w:firstLine="709"/>
        <w:rPr>
          <w:i/>
          <w:i/>
        </w:rPr>
      </w:pPr>
      <w:r>
        <w:rPr>
          <w:i/>
        </w:rPr>
        <w:t>Рис. 4.1. Средняя часть бланка регистрации</w:t>
      </w:r>
    </w:p>
    <w:p>
      <w:pPr>
        <w:pStyle w:val="Normal"/>
        <w:ind w:firstLine="709"/>
        <w:rPr>
          <w:i/>
          <w:i/>
          <w:sz w:val="26"/>
          <w:szCs w:val="26"/>
        </w:rPr>
      </w:pPr>
      <w:r>
        <w:rPr>
          <w:i/>
          <w:sz w:val="26"/>
          <w:szCs w:val="26"/>
        </w:rPr>
        <w:drawing>
          <wp:anchor behindDoc="0" distT="0" distB="0" distL="0" distR="0" simplePos="0" locked="0" layoutInCell="0" allowOverlap="1" relativeHeight="24">
            <wp:simplePos x="0" y="0"/>
            <wp:positionH relativeFrom="page">
              <wp:posOffset>1299845</wp:posOffset>
            </wp:positionH>
            <wp:positionV relativeFrom="paragraph">
              <wp:posOffset>304800</wp:posOffset>
            </wp:positionV>
            <wp:extent cx="5728335" cy="3271520"/>
            <wp:effectExtent l="0" t="0" r="0" b="0"/>
            <wp:wrapTopAndBottom/>
            <wp:docPr id="7" name="image7.png" descr="D:\мониторинг\Бланки ЕГЭ\2024\ЕГЭ\PNG\Бланки ЕГЭ полный комплект чб 2024 версия 1.3.1.1_Страница_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7.png" descr="D:\мониторинг\Бланки ЕГЭ\2024\ЕГЭ\PNG\Бланки ЕГЭ полный комплект чб 2024 версия 1.3.1.1_Страница_03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8335" cy="327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ind w:firstLine="709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Рис. 4.2. Средняя часть бланка регистрации ЕГЭ по иностранным языкам (устная часть)</w:t>
      </w:r>
    </w:p>
    <w:p>
      <w:pPr>
        <w:pStyle w:val="Normal"/>
        <w:ind w:firstLine="709"/>
        <w:rPr>
          <w:sz w:val="26"/>
          <w:szCs w:val="26"/>
        </w:rPr>
      </w:pPr>
      <w:r>
        <w:rPr>
          <w:sz w:val="26"/>
          <w:szCs w:val="26"/>
        </w:rPr>
        <w:drawing>
          <wp:anchor behindDoc="0" distT="0" distB="0" distL="114300" distR="114300" simplePos="0" locked="0" layoutInCell="0" allowOverlap="1" relativeHeight="29">
            <wp:simplePos x="0" y="0"/>
            <wp:positionH relativeFrom="column">
              <wp:posOffset>10795</wp:posOffset>
            </wp:positionH>
            <wp:positionV relativeFrom="paragraph">
              <wp:posOffset>191135</wp:posOffset>
            </wp:positionV>
            <wp:extent cx="5940425" cy="3300730"/>
            <wp:effectExtent l="0" t="0" r="0" b="0"/>
            <wp:wrapTopAndBottom/>
            <wp:docPr id="8" name="image8.png" descr="D:\мониторинг\Бланки ЕГЭ\2024\ЕГЭ\PNG\Бланки ЕГЭ полный комплект чб 2024 версия 1.3.1.1_Страница_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8.png" descr="D:\мониторинг\Бланки ЕГЭ\2024\ЕГЭ\PNG\Бланки ЕГЭ полный комплект чб 2024 версия 1.3.1.1_Страница_02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00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ind w:firstLine="709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Рис. 4.3. Средняя часть бланка регистрации КЕГЭ</w:t>
      </w:r>
    </w:p>
    <w:p>
      <w:pPr>
        <w:pStyle w:val="Normal"/>
        <w:ind w:firstLine="709"/>
        <w:jc w:val="center"/>
        <w:rPr>
          <w:i/>
          <w:i/>
          <w:sz w:val="26"/>
          <w:szCs w:val="26"/>
        </w:rPr>
      </w:pPr>
      <w:r>
        <w:rPr>
          <w:i/>
          <w:sz w:val="26"/>
          <w:szCs w:val="26"/>
        </w:rPr>
      </w:r>
    </w:p>
    <w:p>
      <w:pPr>
        <w:pStyle w:val="BodyText"/>
        <w:ind w:firstLine="709"/>
        <w:jc w:val="both"/>
        <w:rPr/>
      </w:pPr>
      <w:r>
        <w:rPr/>
        <w:t>После окончания заполнения бланка регистрации, ознакомления с краткой инструкцией по порядку проведения ЕГЭ («Запрещается…») и выполнения всех пунктов краткой инструкции по определению целостности и качества печати индивидуального комплекта участника экзамена («До начала работы с бланками ответов проверьте…», «До начала работы проверьте…») участник экзамена ставит свою подпись в специально отведенном поле.</w:t>
      </w:r>
    </w:p>
    <w:p>
      <w:pPr>
        <w:pStyle w:val="BodyText"/>
        <w:ind w:firstLine="709"/>
        <w:jc w:val="both"/>
        <w:rPr/>
      </w:pPr>
      <w:r>
        <w:rPr/>
      </w:r>
    </w:p>
    <w:p>
      <w:pPr>
        <w:pStyle w:val="BodyText"/>
        <w:ind w:firstLine="709"/>
        <w:jc w:val="both"/>
        <w:rPr/>
      </w:pPr>
      <w:r>
        <w:rPr>
          <w:b/>
        </w:rPr>
        <w:t>ВАЖНО!!!</w:t>
      </w:r>
      <w:r>
        <w:rPr/>
        <w:t xml:space="preserve"> В случае если участник экзамена отказывается ставить личную подпись в бланке регистрации, организатор в аудитории ставит свою подпись в поле «Подпись участника ЕГЭ строго внутри</w:t>
      </w:r>
      <w:r>
        <w:rPr>
          <w:spacing w:val="-2"/>
        </w:rPr>
        <w:t xml:space="preserve"> </w:t>
      </w:r>
      <w:r>
        <w:rPr/>
        <w:t>окошка».</w:t>
      </w:r>
    </w:p>
    <w:p>
      <w:pPr>
        <w:pStyle w:val="BodyText"/>
        <w:ind w:firstLine="709"/>
        <w:jc w:val="both"/>
        <w:rPr/>
      </w:pPr>
      <w:r>
        <w:rPr/>
        <w:t>Поля для служебного использования «Резерв-2» и «Служебная отметка» не заполняются (рис.</w:t>
      </w:r>
      <w:r>
        <w:rPr>
          <w:spacing w:val="2"/>
        </w:rPr>
        <w:t xml:space="preserve"> </w:t>
      </w:r>
      <w:r>
        <w:rPr/>
        <w:t>5).</w:t>
      </w:r>
    </w:p>
    <w:p>
      <w:pPr>
        <w:pStyle w:val="BodyText"/>
        <w:ind w:firstLine="709"/>
        <w:jc w:val="both"/>
        <w:rPr/>
      </w:pPr>
      <w:r>
        <w:rPr/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0" distT="0" distB="0" distL="0" distR="0" simplePos="0" locked="0" layoutInCell="0" allowOverlap="1" relativeHeight="21">
            <wp:simplePos x="0" y="0"/>
            <wp:positionH relativeFrom="page">
              <wp:posOffset>930275</wp:posOffset>
            </wp:positionH>
            <wp:positionV relativeFrom="paragraph">
              <wp:posOffset>108585</wp:posOffset>
            </wp:positionV>
            <wp:extent cx="6109970" cy="491490"/>
            <wp:effectExtent l="0" t="0" r="0" b="0"/>
            <wp:wrapTopAndBottom/>
            <wp:docPr id="9" name="image9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9.png" descr="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9970" cy="491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ind w:firstLine="709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Рис. 5. Поля для служебного использования</w:t>
      </w:r>
    </w:p>
    <w:p>
      <w:pPr>
        <w:pStyle w:val="Normal"/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случае если участник экзамена удален из ППЭ в связи с нарушением им Порядка или не завершил экзамен по объективным причинам, заполнение полей нижней части бланка регистрации организатором в аудитории ОБЯЗАТЕЛЬНО.</w:t>
      </w:r>
    </w:p>
    <w:p>
      <w:pPr>
        <w:pStyle w:val="BodyText"/>
        <w:ind w:firstLine="709"/>
        <w:jc w:val="both"/>
        <w:rPr/>
      </w:pPr>
      <w:r>
        <w:rPr/>
        <w:t>Организатор в аудитории ставит отметку «X» в поле «Удален из ППЭ в связи с нарушением порядка проведения ГИА» или «Не завершил экзамен по объективным причинам»</w:t>
      </w:r>
      <w:r>
        <w:rPr>
          <w:spacing w:val="18"/>
        </w:rPr>
        <w:t xml:space="preserve"> </w:t>
      </w:r>
      <w:r>
        <w:rPr/>
        <w:t>и</w:t>
      </w:r>
      <w:r>
        <w:rPr>
          <w:spacing w:val="17"/>
        </w:rPr>
        <w:t xml:space="preserve"> </w:t>
      </w:r>
      <w:r>
        <w:rPr/>
        <w:t>заверяет</w:t>
      </w:r>
      <w:r>
        <w:rPr>
          <w:spacing w:val="22"/>
        </w:rPr>
        <w:t xml:space="preserve"> </w:t>
      </w:r>
      <w:r>
        <w:rPr/>
        <w:t>указанную</w:t>
      </w:r>
      <w:r>
        <w:rPr>
          <w:spacing w:val="21"/>
        </w:rPr>
        <w:t xml:space="preserve"> </w:t>
      </w:r>
      <w:r>
        <w:rPr/>
        <w:t>отметку</w:t>
      </w:r>
      <w:r>
        <w:rPr>
          <w:spacing w:val="16"/>
        </w:rPr>
        <w:t xml:space="preserve"> </w:t>
      </w:r>
      <w:r>
        <w:rPr/>
        <w:t>своей</w:t>
      </w:r>
      <w:r>
        <w:rPr>
          <w:spacing w:val="18"/>
        </w:rPr>
        <w:t xml:space="preserve"> </w:t>
      </w:r>
      <w:r>
        <w:rPr/>
        <w:t>подписью</w:t>
      </w:r>
      <w:r>
        <w:rPr>
          <w:spacing w:val="21"/>
        </w:rPr>
        <w:t xml:space="preserve"> </w:t>
      </w:r>
      <w:r>
        <w:rPr/>
        <w:t>в</w:t>
      </w:r>
      <w:r>
        <w:rPr>
          <w:spacing w:val="17"/>
        </w:rPr>
        <w:t xml:space="preserve"> </w:t>
      </w:r>
      <w:r>
        <w:rPr/>
        <w:t>специально</w:t>
      </w:r>
      <w:r>
        <w:rPr>
          <w:spacing w:val="18"/>
        </w:rPr>
        <w:t xml:space="preserve"> </w:t>
      </w:r>
      <w:r>
        <w:rPr/>
        <w:t>отведенном</w:t>
      </w:r>
      <w:r>
        <w:rPr>
          <w:spacing w:val="21"/>
        </w:rPr>
        <w:t xml:space="preserve"> </w:t>
      </w:r>
      <w:r>
        <w:rPr/>
        <w:t>поле «Подпись ответственного организатора строго внутри окошка» (рис. 6).</w:t>
      </w:r>
    </w:p>
    <w:p>
      <w:pPr>
        <w:pStyle w:val="BodyText"/>
        <w:ind w:firstLine="709"/>
        <w:jc w:val="both"/>
        <w:rPr/>
      </w:pPr>
      <w:r>
        <w:rPr>
          <w:b/>
        </w:rPr>
        <w:t>ВАЖНО!!!</w:t>
      </w:r>
      <w:r>
        <w:rPr/>
        <w:t xml:space="preserve"> Одновременно два поля НЕ ЗАПОЛНЯЮТСЯ. Отметка ставится </w:t>
      </w:r>
    </w:p>
    <w:p>
      <w:pPr>
        <w:pStyle w:val="BodyText"/>
        <w:ind w:firstLine="709"/>
        <w:jc w:val="both"/>
        <w:rPr/>
      </w:pPr>
      <w:r>
        <w:rPr/>
        <w:t>либо в поле «Удален из ППЭ в связи с нарушением порядка проведения ГИА», либо «Не завершил экзамен по объективным</w:t>
      </w:r>
      <w:r>
        <w:rPr>
          <w:spacing w:val="2"/>
        </w:rPr>
        <w:t xml:space="preserve"> </w:t>
      </w:r>
      <w:r>
        <w:rPr/>
        <w:t>причинам».</w:t>
      </w:r>
    </w:p>
    <w:p>
      <w:pPr>
        <w:pStyle w:val="BodyText"/>
        <w:ind w:firstLine="709"/>
        <w:jc w:val="both"/>
        <w:rPr/>
      </w:pPr>
      <w:r>
        <w:drawing>
          <wp:anchor behindDoc="0" distT="0" distB="0" distL="0" distR="0" simplePos="0" locked="0" layoutInCell="0" allowOverlap="1" relativeHeight="25">
            <wp:simplePos x="0" y="0"/>
            <wp:positionH relativeFrom="page">
              <wp:posOffset>1082675</wp:posOffset>
            </wp:positionH>
            <wp:positionV relativeFrom="paragraph">
              <wp:posOffset>174625</wp:posOffset>
            </wp:positionV>
            <wp:extent cx="6043930" cy="964565"/>
            <wp:effectExtent l="0" t="0" r="0" b="0"/>
            <wp:wrapTopAndBottom/>
            <wp:docPr id="10" name="image10.jpeg" descr="D:\мониторинг\Бланки ЕГЭ\2024\ЕГЭ\PNG\Бланки ЕГЭ полный комплект чб 2024 версия 1.3.1.1_Страница_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0.jpeg" descr="D:\мониторинг\Бланки ЕГЭ\2024\ЕГЭ\PNG\Бланки ЕГЭ полный комплект чб 2024 версия 1.3.1.1_Страница_02.pn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3930" cy="964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i/>
        </w:rPr>
        <w:t>Рис. 6. Поле для отметок организатора в аудитории о фактах удаления участника экзамена из ППЭ либо о незавершении экзамена по объективным причинам</w:t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случае обнаружения ошибочного заполнения полей бланка регистрации организаторы в аудитории дают указание участнику экзамена внести соответствующие исправления.</w:t>
      </w:r>
    </w:p>
    <w:p>
      <w:pPr>
        <w:pStyle w:val="Heading1"/>
        <w:ind w:firstLine="709" w:left="0"/>
        <w:jc w:val="both"/>
        <w:rPr>
          <w:b w:val="false"/>
        </w:rPr>
      </w:pPr>
      <w:r>
        <w:rPr/>
        <w:t>Исправления могут быть выполнены следующими способами</w:t>
      </w:r>
      <w:r>
        <w:rPr>
          <w:b w:val="false"/>
        </w:rPr>
        <w:t>:</w:t>
      </w:r>
    </w:p>
    <w:p>
      <w:pPr>
        <w:pStyle w:val="Normal"/>
        <w:ind w:firstLine="709"/>
        <w:rPr>
          <w:sz w:val="26"/>
          <w:szCs w:val="26"/>
        </w:rPr>
      </w:pPr>
      <w:r>
        <w:rPr>
          <w:sz w:val="26"/>
          <w:szCs w:val="26"/>
        </w:rPr>
        <w:t>запись новых символов (цифр, букв) более жирным шрифтом поверх ранее написанных символов (цифр, букв);</w:t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зачеркивание ранее написанных символов (цифр, букв) и заполнение свободных клеточек справа новыми символами (цифрами, буквами). Данный способ возможен только при наличии достаточного количества оставшихся свободных клеточек.</w:t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1"/>
        <w:tabs>
          <w:tab w:val="clear" w:pos="709"/>
          <w:tab w:val="left" w:pos="1750" w:leader="none"/>
        </w:tabs>
        <w:ind w:firstLine="709" w:left="0"/>
        <w:rPr/>
      </w:pPr>
      <w:r>
        <w:rPr/>
      </w:r>
    </w:p>
    <w:p>
      <w:pPr>
        <w:pStyle w:val="Heading1"/>
        <w:tabs>
          <w:tab w:val="clear" w:pos="709"/>
          <w:tab w:val="left" w:pos="1750" w:leader="none"/>
        </w:tabs>
        <w:ind w:firstLine="709" w:left="0"/>
        <w:rPr/>
      </w:pPr>
      <w:r>
        <w:rPr/>
      </w:r>
    </w:p>
    <w:p>
      <w:pPr>
        <w:pStyle w:val="Heading1"/>
        <w:tabs>
          <w:tab w:val="clear" w:pos="709"/>
          <w:tab w:val="left" w:pos="1750" w:leader="none"/>
        </w:tabs>
        <w:ind w:firstLine="709" w:left="0"/>
        <w:rPr/>
      </w:pPr>
      <w:r>
        <w:rPr/>
      </w:r>
    </w:p>
    <w:p>
      <w:pPr>
        <w:pStyle w:val="Heading1"/>
        <w:tabs>
          <w:tab w:val="clear" w:pos="709"/>
          <w:tab w:val="left" w:pos="1750" w:leader="none"/>
        </w:tabs>
        <w:ind w:firstLine="709" w:left="0"/>
        <w:rPr/>
      </w:pPr>
      <w:r>
        <w:rPr/>
      </w:r>
    </w:p>
    <w:p>
      <w:pPr>
        <w:pStyle w:val="Heading1"/>
        <w:tabs>
          <w:tab w:val="clear" w:pos="709"/>
          <w:tab w:val="left" w:pos="1750" w:leader="none"/>
        </w:tabs>
        <w:ind w:firstLine="709" w:left="0"/>
        <w:rPr/>
      </w:pPr>
      <w:r>
        <w:rPr/>
      </w:r>
    </w:p>
    <w:p>
      <w:pPr>
        <w:pStyle w:val="Heading1"/>
        <w:tabs>
          <w:tab w:val="clear" w:pos="709"/>
          <w:tab w:val="left" w:pos="1750" w:leader="none"/>
        </w:tabs>
        <w:ind w:firstLine="709" w:left="0"/>
        <w:rPr/>
      </w:pPr>
      <w:r>
        <w:rPr/>
      </w:r>
    </w:p>
    <w:p>
      <w:pPr>
        <w:pStyle w:val="Heading1"/>
        <w:tabs>
          <w:tab w:val="clear" w:pos="709"/>
          <w:tab w:val="left" w:pos="1750" w:leader="none"/>
        </w:tabs>
        <w:ind w:firstLine="709" w:left="0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tabs>
          <w:tab w:val="clear" w:pos="709"/>
          <w:tab w:val="left" w:pos="1750" w:leader="none"/>
        </w:tabs>
        <w:ind w:firstLine="709" w:left="0"/>
        <w:rPr/>
      </w:pPr>
      <w:r>
        <w:rPr/>
      </w:r>
    </w:p>
    <w:p>
      <w:pPr>
        <w:pStyle w:val="Heading1"/>
        <w:tabs>
          <w:tab w:val="clear" w:pos="709"/>
          <w:tab w:val="left" w:pos="1750" w:leader="none"/>
        </w:tabs>
        <w:ind w:firstLine="709" w:left="0"/>
        <w:rPr/>
      </w:pPr>
      <w:r>
        <w:rPr/>
      </w:r>
    </w:p>
    <w:p>
      <w:pPr>
        <w:pStyle w:val="Heading1"/>
        <w:tabs>
          <w:tab w:val="clear" w:pos="709"/>
          <w:tab w:val="left" w:pos="1750" w:leader="none"/>
        </w:tabs>
        <w:ind w:firstLine="709" w:left="0"/>
        <w:rPr/>
      </w:pPr>
      <w:r>
        <w:rPr/>
      </w:r>
    </w:p>
    <w:p>
      <w:pPr>
        <w:pStyle w:val="Heading1"/>
        <w:tabs>
          <w:tab w:val="clear" w:pos="709"/>
          <w:tab w:val="left" w:pos="1750" w:leader="none"/>
        </w:tabs>
        <w:ind w:firstLine="709" w:left="0"/>
        <w:rPr/>
      </w:pPr>
      <w:r>
        <w:rPr/>
      </w:r>
    </w:p>
    <w:p>
      <w:pPr>
        <w:pStyle w:val="Heading1"/>
        <w:tabs>
          <w:tab w:val="clear" w:pos="709"/>
          <w:tab w:val="left" w:pos="1750" w:leader="none"/>
        </w:tabs>
        <w:ind w:firstLine="709" w:left="0"/>
        <w:rPr/>
      </w:pPr>
      <w:r>
        <w:rPr/>
      </w:r>
    </w:p>
    <w:p>
      <w:pPr>
        <w:pStyle w:val="Heading1"/>
        <w:tabs>
          <w:tab w:val="clear" w:pos="709"/>
          <w:tab w:val="left" w:pos="1750" w:leader="none"/>
        </w:tabs>
        <w:ind w:firstLine="709" w:left="0"/>
        <w:rPr/>
      </w:pPr>
      <w:r>
        <w:rPr/>
        <w:t>1.2.4. Заполнение бланка ответов №</w:t>
      </w:r>
      <w:r>
        <w:rPr>
          <w:spacing w:val="-1"/>
        </w:rPr>
        <w:t xml:space="preserve"> </w:t>
      </w:r>
      <w:r>
        <w:rPr/>
        <w:t>1</w:t>
      </w:r>
    </w:p>
    <w:p>
      <w:pPr>
        <w:pStyle w:val="Normal"/>
        <w:ind w:firstLine="709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0" allowOverlap="1" relativeHeight="14">
            <wp:simplePos x="0" y="0"/>
            <wp:positionH relativeFrom="page">
              <wp:posOffset>1257300</wp:posOffset>
            </wp:positionH>
            <wp:positionV relativeFrom="paragraph">
              <wp:posOffset>193040</wp:posOffset>
            </wp:positionV>
            <wp:extent cx="5404485" cy="7766050"/>
            <wp:effectExtent l="0" t="0" r="0" b="0"/>
            <wp:wrapTopAndBottom/>
            <wp:docPr id="11" name="Image 1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3" descr="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4485" cy="776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ind w:firstLine="709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Рис. 7.1. Бланк ответов № 1</w:t>
      </w:r>
    </w:p>
    <w:p>
      <w:pPr>
        <w:pStyle w:val="Normal"/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firstLine="709"/>
        <w:rPr>
          <w:i/>
          <w:i/>
          <w:sz w:val="26"/>
          <w:szCs w:val="26"/>
        </w:rPr>
      </w:pPr>
      <w:r>
        <w:rPr>
          <w:i/>
          <w:sz w:val="26"/>
          <w:szCs w:val="26"/>
        </w:rPr>
      </w:r>
    </w:p>
    <w:p>
      <w:pPr>
        <w:pStyle w:val="Normal"/>
        <w:ind w:firstLine="709"/>
        <w:rPr>
          <w:i/>
          <w:i/>
          <w:sz w:val="26"/>
          <w:szCs w:val="26"/>
        </w:rPr>
      </w:pPr>
      <w:r>
        <w:rPr>
          <w:i/>
          <w:sz w:val="26"/>
          <w:szCs w:val="26"/>
        </w:rPr>
      </w:r>
    </w:p>
    <w:p>
      <w:pPr>
        <w:pStyle w:val="Normal"/>
        <w:ind w:firstLine="709"/>
        <w:rPr>
          <w:i/>
          <w:i/>
          <w:sz w:val="26"/>
          <w:szCs w:val="26"/>
        </w:rPr>
      </w:pPr>
      <w:r>
        <w:rPr>
          <w:i/>
          <w:sz w:val="26"/>
          <w:szCs w:val="26"/>
        </w:rPr>
      </w:r>
    </w:p>
    <w:p>
      <w:pPr>
        <w:pStyle w:val="Normal"/>
        <w:ind w:firstLine="709"/>
        <w:rPr>
          <w:i/>
          <w:i/>
          <w:sz w:val="26"/>
          <w:szCs w:val="26"/>
        </w:rPr>
      </w:pPr>
      <w:r>
        <w:rPr>
          <w:i/>
          <w:sz w:val="26"/>
          <w:szCs w:val="26"/>
        </w:rPr>
      </w:r>
    </w:p>
    <w:p>
      <w:pPr>
        <w:pStyle w:val="Normal"/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/>
        <w:drawing>
          <wp:inline distT="0" distB="0" distL="0" distR="0">
            <wp:extent cx="5420360" cy="7784465"/>
            <wp:effectExtent l="0" t="0" r="0" b="0"/>
            <wp:docPr id="12" name="Image 1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4" descr="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0360" cy="778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ind w:firstLine="709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Рис.7.2. Бланк ответов № 1 ЕГЭ по литературе</w:t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firstLine="709"/>
        <w:jc w:val="both"/>
        <w:rPr/>
      </w:pPr>
      <w:r>
        <w:rPr/>
      </w:r>
    </w:p>
    <w:p>
      <w:pPr>
        <w:pStyle w:val="Normal"/>
        <w:ind w:firstLine="709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</w:r>
    </w:p>
    <w:p>
      <w:pPr>
        <w:pStyle w:val="Normal"/>
        <w:ind w:firstLine="709"/>
        <w:jc w:val="both"/>
        <w:rPr>
          <w:i/>
          <w:i/>
          <w:sz w:val="26"/>
          <w:szCs w:val="26"/>
        </w:rPr>
      </w:pPr>
      <w:r>
        <w:rPr/>
        <w:drawing>
          <wp:inline distT="0" distB="0" distL="0" distR="0">
            <wp:extent cx="5712460" cy="1554480"/>
            <wp:effectExtent l="0" t="0" r="0" b="0"/>
            <wp:docPr id="13" name="Image 1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5" descr="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2460" cy="1554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ind w:firstLine="709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</w:r>
    </w:p>
    <w:p>
      <w:pPr>
        <w:pStyle w:val="Normal"/>
        <w:ind w:hanging="0"/>
        <w:jc w:val="center"/>
        <w:rPr/>
      </w:pPr>
      <w:r>
        <w:rPr>
          <w:i/>
          <w:sz w:val="26"/>
          <w:szCs w:val="26"/>
        </w:rPr>
        <w:t>Рис. 8. Верхняя часть бланка ответов № 1</w:t>
      </w:r>
    </w:p>
    <w:p>
      <w:pPr>
        <w:pStyle w:val="Normal"/>
        <w:ind w:hanging="0"/>
        <w:jc w:val="center"/>
        <w:rPr>
          <w:i/>
          <w:i/>
          <w:sz w:val="26"/>
          <w:szCs w:val="26"/>
        </w:rPr>
      </w:pPr>
      <w:r>
        <w:rPr>
          <w:i/>
          <w:sz w:val="26"/>
          <w:szCs w:val="26"/>
        </w:rPr>
      </w:r>
    </w:p>
    <w:p>
      <w:pPr>
        <w:pStyle w:val="BodyText"/>
        <w:ind w:firstLine="709"/>
        <w:jc w:val="both"/>
        <w:rPr/>
      </w:pPr>
      <w:r>
        <w:rPr>
          <w:i/>
          <w:sz w:val="26"/>
          <w:szCs w:val="26"/>
        </w:rPr>
        <w:t>В верхней части бланка ответов № 1 (рис. 8) поля «Код региона», «Код предмета», «Название предмета» заполняются автоматически. Служебное поле «Резерв-4» не заполняется. Участник экзамена ставит свою подпись строго внутри</w:t>
      </w:r>
      <w:r>
        <w:rPr>
          <w:i/>
          <w:spacing w:val="-10"/>
          <w:sz w:val="26"/>
          <w:szCs w:val="26"/>
        </w:rPr>
        <w:t xml:space="preserve"> </w:t>
      </w:r>
      <w:r>
        <w:rPr>
          <w:i/>
          <w:sz w:val="26"/>
          <w:szCs w:val="26"/>
        </w:rPr>
        <w:t>окошка.</w:t>
      </w:r>
    </w:p>
    <w:p>
      <w:pPr>
        <w:pStyle w:val="Normal"/>
        <w:ind w:firstLine="709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При проведении</w:t>
      </w:r>
      <w:r>
        <w:rPr>
          <w:i/>
          <w:spacing w:val="55"/>
          <w:sz w:val="26"/>
          <w:szCs w:val="26"/>
        </w:rPr>
        <w:t xml:space="preserve"> </w:t>
      </w:r>
      <w:r>
        <w:rPr>
          <w:i/>
          <w:sz w:val="26"/>
          <w:szCs w:val="26"/>
        </w:rPr>
        <w:t>ЕГЭ</w:t>
      </w:r>
      <w:r>
        <w:rPr>
          <w:i/>
          <w:spacing w:val="54"/>
          <w:sz w:val="26"/>
          <w:szCs w:val="26"/>
        </w:rPr>
        <w:t xml:space="preserve"> </w:t>
      </w:r>
      <w:r>
        <w:rPr>
          <w:i/>
          <w:sz w:val="26"/>
          <w:szCs w:val="26"/>
        </w:rPr>
        <w:t>в ППЭ</w:t>
      </w:r>
      <w:r>
        <w:rPr>
          <w:i/>
          <w:spacing w:val="52"/>
          <w:sz w:val="26"/>
          <w:szCs w:val="26"/>
        </w:rPr>
        <w:t xml:space="preserve"> </w:t>
      </w:r>
      <w:r>
        <w:rPr>
          <w:i/>
          <w:sz w:val="26"/>
          <w:szCs w:val="26"/>
        </w:rPr>
        <w:t>с</w:t>
      </w:r>
      <w:r>
        <w:rPr>
          <w:i/>
          <w:spacing w:val="51"/>
          <w:sz w:val="26"/>
          <w:szCs w:val="26"/>
        </w:rPr>
        <w:t xml:space="preserve"> </w:t>
      </w:r>
      <w:r>
        <w:rPr>
          <w:i/>
          <w:sz w:val="26"/>
          <w:szCs w:val="26"/>
        </w:rPr>
        <w:t>использованием</w:t>
      </w:r>
      <w:r>
        <w:rPr>
          <w:i/>
          <w:spacing w:val="52"/>
          <w:sz w:val="26"/>
          <w:szCs w:val="26"/>
        </w:rPr>
        <w:t xml:space="preserve"> </w:t>
      </w:r>
      <w:r>
        <w:rPr>
          <w:i/>
          <w:sz w:val="26"/>
          <w:szCs w:val="26"/>
        </w:rPr>
        <w:t>ЭМ</w:t>
      </w:r>
      <w:r>
        <w:rPr>
          <w:i/>
          <w:spacing w:val="51"/>
          <w:sz w:val="26"/>
          <w:szCs w:val="26"/>
        </w:rPr>
        <w:t xml:space="preserve"> ЕГЭ </w:t>
      </w:r>
      <w:r>
        <w:rPr>
          <w:i/>
          <w:sz w:val="26"/>
          <w:szCs w:val="26"/>
        </w:rPr>
        <w:t>на</w:t>
      </w:r>
      <w:r>
        <w:rPr>
          <w:i/>
          <w:spacing w:val="51"/>
          <w:sz w:val="26"/>
          <w:szCs w:val="26"/>
        </w:rPr>
        <w:t xml:space="preserve"> </w:t>
      </w:r>
      <w:r>
        <w:rPr>
          <w:i/>
          <w:sz w:val="26"/>
          <w:szCs w:val="26"/>
        </w:rPr>
        <w:t>бумажных</w:t>
      </w:r>
      <w:r>
        <w:rPr>
          <w:i/>
          <w:spacing w:val="51"/>
          <w:sz w:val="26"/>
          <w:szCs w:val="26"/>
        </w:rPr>
        <w:t xml:space="preserve"> </w:t>
      </w:r>
      <w:r>
        <w:rPr>
          <w:i/>
          <w:sz w:val="26"/>
          <w:szCs w:val="26"/>
        </w:rPr>
        <w:t>носителях</w:t>
      </w:r>
      <w:r>
        <w:rPr>
          <w:i/>
          <w:spacing w:val="54"/>
          <w:sz w:val="26"/>
          <w:szCs w:val="26"/>
        </w:rPr>
        <w:t xml:space="preserve"> </w:t>
      </w:r>
      <w:r>
        <w:rPr>
          <w:i/>
          <w:sz w:val="26"/>
          <w:szCs w:val="26"/>
        </w:rPr>
        <w:t>поле «Код региона» заполняется участником экзамена. Автоматически заполняются только поля «Код предмета», «Название предмета».</w:t>
      </w:r>
    </w:p>
    <w:p>
      <w:pPr>
        <w:pStyle w:val="Normal"/>
        <w:ind w:firstLine="709"/>
        <w:rPr>
          <w:i/>
          <w:i/>
          <w:sz w:val="26"/>
          <w:szCs w:val="26"/>
        </w:rPr>
      </w:pPr>
      <w:r>
        <w:rPr>
          <w:i/>
          <w:sz w:val="26"/>
          <w:szCs w:val="26"/>
        </w:rPr>
      </w:r>
    </w:p>
    <w:p>
      <w:pPr>
        <w:pStyle w:val="Normal"/>
        <w:ind w:hanging="0"/>
        <w:jc w:val="center"/>
        <w:rPr/>
      </w:pPr>
      <w:r>
        <w:drawing>
          <wp:anchor behindDoc="0" distT="0" distB="0" distL="0" distR="0" simplePos="0" locked="0" layoutInCell="0" allowOverlap="1" relativeHeight="26">
            <wp:simplePos x="0" y="0"/>
            <wp:positionH relativeFrom="column">
              <wp:posOffset>296545</wp:posOffset>
            </wp:positionH>
            <wp:positionV relativeFrom="paragraph">
              <wp:posOffset>107315</wp:posOffset>
            </wp:positionV>
            <wp:extent cx="5464175" cy="3910965"/>
            <wp:effectExtent l="0" t="0" r="0" b="0"/>
            <wp:wrapTopAndBottom/>
            <wp:docPr id="14" name="image14.png" descr="D:\мониторинг\Бланки ЕГЭ\2024\ЕГЭ\PNG\Бланки ЕГЭ полный комплект чб 2024 версия 1.3.1.1_Страница_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4.png" descr="D:\мониторинг\Бланки ЕГЭ\2024\ЕГЭ\PNG\Бланки ЕГЭ полный комплект чб 2024 версия 1.3.1.1_Страница_04.pn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4175" cy="3910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i/>
          <w:sz w:val="26"/>
          <w:szCs w:val="26"/>
        </w:rPr>
        <w:t>Рис. 9.1. Средняя часть бланка ответов № 1</w:t>
      </w:r>
    </w:p>
    <w:p>
      <w:pPr>
        <w:pStyle w:val="Normal"/>
        <w:ind w:firstLine="709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hanging="0"/>
        <w:rPr>
          <w:i/>
          <w:i/>
          <w:sz w:val="26"/>
          <w:szCs w:val="26"/>
        </w:rPr>
      </w:pPr>
      <w:r>
        <w:rPr>
          <w:i/>
          <w:sz w:val="26"/>
          <w:szCs w:val="26"/>
        </w:rPr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/>
        <w:drawing>
          <wp:inline distT="0" distB="0" distL="0" distR="0">
            <wp:extent cx="5014595" cy="4411980"/>
            <wp:effectExtent l="0" t="0" r="0" b="0"/>
            <wp:docPr id="15" name="image15.jpeg" descr="D:\мониторинг\Бланки ЕГЭ\2024\ЕГЭ\PNG\Бланки ЕГЭ полный комплект чб 2024 версия 1.3.1.1_Страница_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15.jpeg" descr="D:\мониторинг\Бланки ЕГЭ\2024\ЕГЭ\PNG\Бланки ЕГЭ полный комплект чб 2024 версия 1.3.1.1_Страница_05.pn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4595" cy="4411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ind w:firstLine="709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9.2.. Средняя часть бланка ответов № 1 по литературе</w:t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средней части бланка ответов № 1 (рис. 9.1, 9.2) краткий ответ записывается справа от номера задания в поле ответов «Результаты выполнения заданий с кратким ответом», начиная с первой позиции (клеточки).</w:t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Ответ на задание КИМ для проведения ЕГЭ с кратким ответом нужно записать </w:t>
      </w:r>
      <w:r>
        <w:rPr>
          <w:b/>
          <w:sz w:val="26"/>
          <w:szCs w:val="26"/>
        </w:rPr>
        <w:t>в такой форме</w:t>
      </w:r>
      <w:r>
        <w:rPr>
          <w:sz w:val="26"/>
          <w:szCs w:val="26"/>
        </w:rPr>
        <w:t xml:space="preserve">, </w:t>
      </w:r>
      <w:r>
        <w:rPr>
          <w:b/>
          <w:sz w:val="26"/>
          <w:szCs w:val="26"/>
        </w:rPr>
        <w:t xml:space="preserve">в которой требуется в инструкции к данному заданию </w:t>
      </w:r>
      <w:r>
        <w:rPr>
          <w:sz w:val="26"/>
          <w:szCs w:val="26"/>
        </w:rPr>
        <w:t>(или группе заданий), размещенной в КИМ для проведения ЕГЭ перед соответствующим заданием или группой заданий.</w:t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Не разрешается использовать при записи ответа на задания КИМ для проведения ЕГЭ с кратким ответом никакие иные символы, кроме символов кириллицы, латиницы, арабских цифр, запятой и знака «дефис» («минус»), диакритических знаков, образцы которых даны в верхней части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бланка.</w:t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Краткий ответ на задания КИМ для проведения ЕГЭ, в соответствии с инструкцией к заданию, может быть записан только в виде:</w:t>
      </w:r>
    </w:p>
    <w:p>
      <w:pPr>
        <w:pStyle w:val="BodyText"/>
        <w:ind w:firstLine="709"/>
        <w:jc w:val="both"/>
        <w:rPr/>
      </w:pPr>
      <w:r>
        <w:rPr/>
        <w:t>одной цифры;</w:t>
      </w:r>
    </w:p>
    <w:p>
      <w:pPr>
        <w:pStyle w:val="BodyText"/>
        <w:ind w:firstLine="709"/>
        <w:jc w:val="both"/>
        <w:rPr/>
      </w:pPr>
      <w:r>
        <w:rPr/>
        <w:t>целого числа (возможно использование знака «минус»);</w:t>
      </w:r>
    </w:p>
    <w:p>
      <w:pPr>
        <w:pStyle w:val="BodyText"/>
        <w:ind w:firstLine="709"/>
        <w:jc w:val="both"/>
        <w:rPr/>
      </w:pPr>
      <w:r>
        <w:rPr/>
        <w:t>конечной десятичной дроби (возможно использование знака «минус»);</w:t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последовательности символов, состоящей из букв и (или) цифр, при этом оставлять пустые клеточки (пробел) между буквами или цифрами указанной последовательности, запрещено;</w:t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слова или словосочетания (нескольких слов).</w:t>
      </w:r>
    </w:p>
    <w:p>
      <w:pPr>
        <w:pStyle w:val="BodyText"/>
        <w:ind w:firstLine="709"/>
        <w:jc w:val="both"/>
        <w:rPr/>
      </w:pPr>
      <w:r>
        <w:rPr/>
        <w:t>Каждая цифра, буква, запятая или знак «минус» (если число отрицательное) записывается в отдельную клеточку строго по образцу из верхней части бланка ответов № 1.</w:t>
      </w:r>
    </w:p>
    <w:p>
      <w:pPr>
        <w:pStyle w:val="BodyText"/>
        <w:ind w:firstLine="709"/>
        <w:jc w:val="both"/>
        <w:rPr/>
      </w:pPr>
      <w:r>
        <w:rPr/>
        <w:t>Поля для ответов на задания № 4-5, № 9-11 в бланке ответов № 1 по литературе (рис. 9.2) не заполняются. Эти задания выполняются на бланке ответов №</w:t>
      </w:r>
      <w:r>
        <w:rPr>
          <w:spacing w:val="-17"/>
        </w:rPr>
        <w:t xml:space="preserve"> </w:t>
      </w:r>
      <w:r>
        <w:rPr/>
        <w:t>2.</w:t>
      </w:r>
    </w:p>
    <w:p>
      <w:pPr>
        <w:pStyle w:val="BodyText"/>
        <w:ind w:firstLine="709"/>
        <w:jc w:val="both"/>
        <w:rPr/>
      </w:pPr>
      <w:r>
        <w:rPr>
          <w:b/>
        </w:rPr>
        <w:t xml:space="preserve">ВАЖНО!!! </w:t>
      </w:r>
      <w:r>
        <w:rPr/>
        <w:t>Если в ответе больше 17 символов (количество клеточек в поле для записи ответов на задания с кратким ответом), то ответ записывается в отведенном для него месте, не обращая внимания на разбиение этого поля на клеточки. Ответ должен быть написан разборчиво, более узкими символами в одну строчку, с использованием всей длины отведенного под него поля. Символы в ответе не должны соприкасаться друг с другом. Термин следует писать полностью. ЛЮБЫЕ СОКРАЩЕНИЯ</w:t>
      </w:r>
      <w:r>
        <w:rPr>
          <w:spacing w:val="-11"/>
        </w:rPr>
        <w:t xml:space="preserve"> </w:t>
      </w:r>
      <w:r>
        <w:rPr/>
        <w:t>ЗАПРЕЩЕНЫ.</w:t>
      </w:r>
    </w:p>
    <w:p>
      <w:pPr>
        <w:pStyle w:val="BodyText"/>
        <w:ind w:firstLine="709"/>
        <w:jc w:val="both"/>
        <w:rPr/>
      </w:pPr>
      <w:r>
        <w:rPr/>
        <w:t>Если кратким ответом должно быть слово, пропущенное в тексте задания, то это слово нужно писать в той форме (род, число, падеж и т.п.), в которой оно должно стоять в тексте</w:t>
      </w:r>
      <w:r>
        <w:rPr>
          <w:spacing w:val="-1"/>
        </w:rPr>
        <w:t xml:space="preserve"> </w:t>
      </w:r>
      <w:r>
        <w:rPr/>
        <w:t>задания.</w:t>
      </w:r>
    </w:p>
    <w:p>
      <w:pPr>
        <w:pStyle w:val="BodyText"/>
        <w:ind w:firstLine="709"/>
        <w:jc w:val="both"/>
        <w:rPr/>
      </w:pPr>
      <w:r>
        <w:rPr/>
        <w:t>Если в инструкции к заданию ответ требуется дать в виде целого числа, то получившуюся в ответе дробь следует округлить до целого числа по правилам округления (</w:t>
      </w:r>
      <w:r>
        <w:rPr>
          <w:i/>
        </w:rPr>
        <w:t xml:space="preserve">например: 2,3 округляется до 2; 2,5 – до 3; 2,7 – до 3). </w:t>
      </w:r>
      <w:r>
        <w:rPr/>
        <w:t>Если в инструкции к заданию отдельно не указано, что ответ на задание необходимо округлить, то его следует записать в виде конечной десятичной дроби. В ответе, записанном в виде десятичной дроби, в качестве разделителя следует указывать</w:t>
      </w:r>
      <w:r>
        <w:rPr>
          <w:spacing w:val="3"/>
        </w:rPr>
        <w:t xml:space="preserve"> </w:t>
      </w:r>
      <w:r>
        <w:rPr/>
        <w:t>запятую.</w:t>
      </w:r>
    </w:p>
    <w:p>
      <w:pPr>
        <w:pStyle w:val="BodyText"/>
        <w:ind w:firstLine="709"/>
        <w:jc w:val="both"/>
        <w:rPr/>
      </w:pPr>
      <w:r>
        <w:rPr/>
        <w:t>Запрещается записывать ответ в виде простой дроби, математического выражения или формулы. В ответе не указываются названия единиц измерения (градусы, проценты, метры, тонны и т.д.), так как они не будут учитываться при оценивании. Недопустимы заголовки или комментарии к ответу.</w:t>
      </w:r>
    </w:p>
    <w:p>
      <w:pPr>
        <w:pStyle w:val="BodyText"/>
        <w:ind w:firstLine="709"/>
        <w:jc w:val="both"/>
        <w:rPr/>
      </w:pPr>
      <w:r>
        <w:rPr/>
        <w:t xml:space="preserve">В случае если ответ на задание требуется записать в виде последовательности цифр (чисел) или букв, то ответ в поле бланка ответа № 1 необходимо записать в соответствии с инструкцией к заданию: в виде последовательности цифр (чисел) или букв, </w:t>
      </w:r>
      <w:r>
        <w:rPr>
          <w:b/>
        </w:rPr>
        <w:t xml:space="preserve">без каких- либо разделительных символов, в том числе пробелов, </w:t>
      </w:r>
      <w:r>
        <w:rPr/>
        <w:t>т.е. нельзя оставлять пустые клеточки, запятые и другие разделительные символы между цифрами (числами) или буквами)</w:t>
      </w:r>
      <w:r>
        <w:rPr>
          <w:spacing w:val="1"/>
        </w:rPr>
        <w:t xml:space="preserve"> </w:t>
      </w:r>
      <w:r>
        <w:rPr/>
        <w:t>последовательности.</w:t>
      </w:r>
    </w:p>
    <w:p>
      <w:pPr>
        <w:pStyle w:val="BodyText"/>
        <w:ind w:firstLine="709"/>
        <w:jc w:val="both"/>
        <w:rPr/>
      </w:pPr>
      <w:r>
        <w:rPr/>
        <w:t>При оценивании кратких ответов на задания, где ответом является последовательность символов, порядок следования символов последовательности влияет на оценивание такого ответа. При этом разделительные символы, в том числе пробелы, запятые и пр. будут игнорироваться. Например, ответы «14,5», «14-5», «14 5» и т.п. будут равноценны ответу «145», и будут оценены</w:t>
      </w:r>
      <w:r>
        <w:rPr>
          <w:spacing w:val="-1"/>
        </w:rPr>
        <w:t xml:space="preserve"> </w:t>
      </w:r>
      <w:r>
        <w:rPr/>
        <w:t>одинаково.</w:t>
      </w:r>
    </w:p>
    <w:p>
      <w:pPr>
        <w:pStyle w:val="BodyText"/>
        <w:ind w:firstLine="709"/>
        <w:jc w:val="both"/>
        <w:rPr/>
      </w:pPr>
      <w:r>
        <w:rPr/>
        <w:t>В нижней части бланка ответов № 1 предусмотрены поля для записи исправленных ответов на задания с кратким ответом взамен ошибочно записанных (рис. 10).</w:t>
      </w:r>
    </w:p>
    <w:p>
      <w:pPr>
        <w:pStyle w:val="BodyText"/>
        <w:ind w:firstLine="709"/>
        <w:jc w:val="both"/>
        <w:rPr/>
      </w:pPr>
      <w:r>
        <w:rPr/>
        <w:drawing>
          <wp:anchor behindDoc="0" distT="0" distB="0" distL="0" distR="0" simplePos="0" locked="0" layoutInCell="0" allowOverlap="1" relativeHeight="22">
            <wp:simplePos x="0" y="0"/>
            <wp:positionH relativeFrom="page">
              <wp:posOffset>1010285</wp:posOffset>
            </wp:positionH>
            <wp:positionV relativeFrom="paragraph">
              <wp:posOffset>130810</wp:posOffset>
            </wp:positionV>
            <wp:extent cx="6067425" cy="938530"/>
            <wp:effectExtent l="0" t="0" r="0" b="0"/>
            <wp:wrapTopAndBottom/>
            <wp:docPr id="16" name="image18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8.png" descr="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938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ind w:firstLine="709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Рис. 10. Нижняя часть бланка ответов № 1</w:t>
      </w:r>
    </w:p>
    <w:p>
      <w:pPr>
        <w:pStyle w:val="BodyText"/>
        <w:ind w:firstLine="709"/>
        <w:jc w:val="both"/>
        <w:rPr>
          <w:i/>
          <w:i/>
        </w:rPr>
      </w:pPr>
      <w:r>
        <w:rPr>
          <w:i/>
        </w:rPr>
        <w:t>(поле замены ошибочных ответов на задания с кратким ответом)</w:t>
      </w:r>
    </w:p>
    <w:p>
      <w:pPr>
        <w:pStyle w:val="BodyText"/>
        <w:ind w:firstLine="709"/>
        <w:jc w:val="both"/>
        <w:rPr>
          <w:i/>
          <w:i/>
        </w:rPr>
      </w:pPr>
      <w:r>
        <w:rPr>
          <w:i/>
        </w:rPr>
      </w:r>
    </w:p>
    <w:p>
      <w:pPr>
        <w:pStyle w:val="BodyText"/>
        <w:tabs>
          <w:tab w:val="clear" w:pos="709"/>
          <w:tab w:val="left" w:pos="9355" w:leader="none"/>
        </w:tabs>
        <w:ind w:firstLine="709"/>
        <w:jc w:val="both"/>
        <w:rPr/>
      </w:pPr>
      <w:r>
        <w:rPr/>
        <w:t xml:space="preserve">Для замены ответа, внесенного в бланк ответов № 1, нужно в поле «Замена ошибочных ответов на задания с КРАТКИМ ОТВЕТОМ» указать номер задания (две первых клеточки </w:t>
      </w:r>
      <w:r>
        <w:rPr>
          <w:b/>
        </w:rPr>
        <w:t xml:space="preserve">перед </w:t>
      </w:r>
      <w:r>
        <w:rPr/>
        <w:t xml:space="preserve">знаком тире), ответ на который следует исправить. Номера заданий от 1 до 9 необходимо указывать, начиная с первой клетки (например, 1, 2, 3 …), вторая клетка остается незаполненной. В поле для исправленного ответа (17 клеточек </w:t>
      </w:r>
      <w:r>
        <w:rPr>
          <w:b/>
        </w:rPr>
        <w:t xml:space="preserve">после </w:t>
      </w:r>
      <w:r>
        <w:rPr/>
        <w:t>знака тире) записать новое значение верного ответа на указанное</w:t>
      </w:r>
      <w:r>
        <w:rPr>
          <w:spacing w:val="-5"/>
        </w:rPr>
        <w:t xml:space="preserve"> </w:t>
      </w:r>
      <w:r>
        <w:rPr/>
        <w:t>задание.</w:t>
      </w:r>
    </w:p>
    <w:p>
      <w:pPr>
        <w:pStyle w:val="BodyText"/>
        <w:tabs>
          <w:tab w:val="clear" w:pos="709"/>
          <w:tab w:val="left" w:pos="9355" w:leader="none"/>
        </w:tabs>
        <w:ind w:firstLine="709"/>
        <w:jc w:val="both"/>
        <w:rPr/>
      </w:pPr>
      <w:r>
        <w:rPr>
          <w:b/>
        </w:rPr>
        <w:t xml:space="preserve">ВАЖНО!!! </w:t>
      </w:r>
      <w:r>
        <w:rPr/>
        <w:t xml:space="preserve">В случае если в поле замены ошибочных ответов на задания с кратким ответом будет заполнено поле для номера задания, а </w:t>
      </w:r>
      <w:r>
        <w:rPr>
          <w:b/>
        </w:rPr>
        <w:t>новый ответ не внесен</w:t>
      </w:r>
      <w:r>
        <w:rPr/>
        <w:t xml:space="preserve">, то для оценивания будет использоваться пустой ответ (т.е. </w:t>
      </w:r>
      <w:r>
        <w:rPr>
          <w:b/>
        </w:rPr>
        <w:t>задание будет засчитано невыполненным</w:t>
      </w:r>
      <w:r>
        <w:rPr/>
        <w:t>). Поэтому в случае неправильного указания номера задания в области замены ошибочных ответов, ошибочно проставленный номер задания СЛЕДУЕТ ЗАЧЕРКНУТЬ.</w:t>
      </w:r>
    </w:p>
    <w:p>
      <w:pPr>
        <w:pStyle w:val="BodyText"/>
        <w:tabs>
          <w:tab w:val="clear" w:pos="709"/>
          <w:tab w:val="left" w:pos="9355" w:leader="none"/>
        </w:tabs>
        <w:ind w:firstLine="709"/>
        <w:jc w:val="both"/>
        <w:rPr/>
      </w:pPr>
      <w:r>
        <w:rPr/>
        <w:t xml:space="preserve">Ответственный организатор в аудитории по окончании выполнения экзаменационной работы участником экзамена </w:t>
      </w:r>
      <w:r>
        <w:rPr>
          <w:b/>
        </w:rPr>
        <w:t xml:space="preserve">должен проверить заполнение бланка ответов № 1 </w:t>
      </w:r>
      <w:r>
        <w:rPr/>
        <w:t xml:space="preserve">данного участника экзамена на наличие замены ошибочных ответов на задания с кратким ответом. В случае если участник экзамена осуществлял во время выполнения экзаменационной работы замену ошибочных ответов, организатору необходимо </w:t>
      </w:r>
      <w:r>
        <w:rPr>
          <w:b/>
        </w:rPr>
        <w:t xml:space="preserve">посчитать </w:t>
      </w:r>
      <w:r>
        <w:rPr/>
        <w:t xml:space="preserve">количество замен ошибочных ответов и в поле «Количество заполненных полей «Замена ошибочных ответов» </w:t>
      </w:r>
      <w:r>
        <w:rPr>
          <w:b/>
        </w:rPr>
        <w:t xml:space="preserve">поставить </w:t>
      </w:r>
      <w:r>
        <w:rPr/>
        <w:t>соответствующее цифровое значение, а также поставить подпись в специально отведенном поле «Подпись ответственного организатора строго внутри</w:t>
      </w:r>
      <w:r>
        <w:rPr>
          <w:spacing w:val="-1"/>
        </w:rPr>
        <w:t xml:space="preserve"> </w:t>
      </w:r>
      <w:r>
        <w:rPr/>
        <w:t>окошка».</w:t>
      </w:r>
    </w:p>
    <w:p>
      <w:pPr>
        <w:pStyle w:val="BodyText"/>
        <w:tabs>
          <w:tab w:val="clear" w:pos="709"/>
          <w:tab w:val="left" w:pos="9355" w:leader="none"/>
        </w:tabs>
        <w:ind w:firstLine="709"/>
        <w:jc w:val="both"/>
        <w:rPr/>
      </w:pPr>
      <w:r>
        <w:rPr/>
        <w:t>В случае если участник экзамена не использовал поле «Замена ошибочных ответов на задания с КРАТКИМ ОТВЕТОМ», организатор в поле «Количество заполненных</w:t>
      </w:r>
      <w:r>
        <w:rPr>
          <w:spacing w:val="53"/>
        </w:rPr>
        <w:t xml:space="preserve"> </w:t>
      </w:r>
      <w:r>
        <w:rPr/>
        <w:t>полей «Замена ошибочных ответов» ставит «Х» и подпись в специально отведенном поле «Подпись ответственного организатора строго внутри окошка» (рис. 11).</w:t>
      </w:r>
    </w:p>
    <w:p>
      <w:pPr>
        <w:pStyle w:val="BodyText"/>
        <w:ind w:firstLine="709"/>
        <w:jc w:val="both"/>
        <w:rPr/>
      </w:pPr>
      <w:r>
        <w:rPr/>
        <w:drawing>
          <wp:anchor behindDoc="0" distT="0" distB="0" distL="114300" distR="114300" simplePos="0" locked="0" layoutInCell="0" allowOverlap="1" relativeHeight="30">
            <wp:simplePos x="0" y="0"/>
            <wp:positionH relativeFrom="column">
              <wp:posOffset>-34290</wp:posOffset>
            </wp:positionH>
            <wp:positionV relativeFrom="paragraph">
              <wp:posOffset>193675</wp:posOffset>
            </wp:positionV>
            <wp:extent cx="5940425" cy="551815"/>
            <wp:effectExtent l="0" t="0" r="0" b="0"/>
            <wp:wrapTopAndBottom/>
            <wp:docPr id="17" name="image19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19.png" descr="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51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BodyText"/>
        <w:ind w:firstLine="709"/>
        <w:jc w:val="both"/>
        <w:rPr/>
      </w:pPr>
      <w:r>
        <w:rPr/>
      </w:r>
    </w:p>
    <w:p>
      <w:pPr>
        <w:pStyle w:val="Normal"/>
        <w:tabs>
          <w:tab w:val="clear" w:pos="709"/>
          <w:tab w:val="left" w:pos="7088" w:leader="none"/>
          <w:tab w:val="left" w:pos="9355" w:leader="none"/>
        </w:tabs>
        <w:ind w:firstLine="709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Рис. 11. Нижняя часть бланка ответов № 1 (поле для заполнения организатором в аудитории)</w:t>
      </w:r>
    </w:p>
    <w:p>
      <w:pPr>
        <w:pStyle w:val="Normal"/>
        <w:tabs>
          <w:tab w:val="clear" w:pos="709"/>
          <w:tab w:val="left" w:pos="7088" w:leader="none"/>
          <w:tab w:val="left" w:pos="9355" w:leader="none"/>
        </w:tabs>
        <w:ind w:firstLine="709"/>
        <w:jc w:val="center"/>
        <w:rPr>
          <w:i/>
          <w:i/>
          <w:sz w:val="26"/>
          <w:szCs w:val="26"/>
        </w:rPr>
      </w:pPr>
      <w:r>
        <w:rPr>
          <w:i/>
          <w:sz w:val="26"/>
          <w:szCs w:val="26"/>
        </w:rPr>
      </w:r>
    </w:p>
    <w:p>
      <w:pPr>
        <w:pStyle w:val="BodyText"/>
        <w:ind w:firstLine="709"/>
        <w:jc w:val="both"/>
        <w:rPr/>
      </w:pPr>
      <w:r>
        <w:rPr/>
      </w:r>
    </w:p>
    <w:p>
      <w:pPr>
        <w:pStyle w:val="BodyText"/>
        <w:ind w:firstLine="709"/>
        <w:jc w:val="both"/>
        <w:rPr/>
      </w:pPr>
      <w:r>
        <w:rPr/>
      </w:r>
    </w:p>
    <w:p>
      <w:pPr>
        <w:pStyle w:val="BodyText"/>
        <w:ind w:firstLine="709"/>
        <w:jc w:val="both"/>
        <w:rPr/>
      </w:pPr>
      <w:r>
        <w:rPr/>
      </w:r>
    </w:p>
    <w:p>
      <w:pPr>
        <w:pStyle w:val="BodyText"/>
        <w:ind w:firstLine="709"/>
        <w:jc w:val="both"/>
        <w:rPr/>
      </w:pPr>
      <w:r>
        <w:rPr/>
      </w:r>
    </w:p>
    <w:p>
      <w:pPr>
        <w:pStyle w:val="BodyText"/>
        <w:ind w:firstLine="709"/>
        <w:jc w:val="both"/>
        <w:rPr/>
      </w:pPr>
      <w:r>
        <w:rPr/>
      </w:r>
    </w:p>
    <w:p>
      <w:pPr>
        <w:pStyle w:val="BodyText"/>
        <w:ind w:firstLine="709"/>
        <w:jc w:val="both"/>
        <w:rPr/>
      </w:pPr>
      <w:r>
        <w:rPr/>
      </w:r>
    </w:p>
    <w:p>
      <w:pPr>
        <w:pStyle w:val="BodyText"/>
        <w:ind w:firstLine="709"/>
        <w:jc w:val="both"/>
        <w:rPr/>
      </w:pPr>
      <w:r>
        <w:rPr/>
      </w:r>
    </w:p>
    <w:p>
      <w:pPr>
        <w:pStyle w:val="BodyText"/>
        <w:ind w:firstLine="709"/>
        <w:jc w:val="both"/>
        <w:rPr/>
      </w:pPr>
      <w:r>
        <w:rPr/>
      </w:r>
    </w:p>
    <w:p>
      <w:pPr>
        <w:pStyle w:val="BodyText"/>
        <w:ind w:firstLine="709"/>
        <w:jc w:val="both"/>
        <w:rPr/>
      </w:pPr>
      <w:r>
        <w:rPr/>
      </w:r>
    </w:p>
    <w:p>
      <w:pPr>
        <w:pStyle w:val="BodyText"/>
        <w:ind w:firstLine="709"/>
        <w:jc w:val="both"/>
        <w:rPr/>
      </w:pPr>
      <w:r>
        <w:rPr/>
      </w:r>
    </w:p>
    <w:p>
      <w:pPr>
        <w:pStyle w:val="BodyText"/>
        <w:ind w:firstLine="709"/>
        <w:jc w:val="both"/>
        <w:rPr/>
      </w:pPr>
      <w:r>
        <w:rPr/>
      </w:r>
    </w:p>
    <w:p>
      <w:pPr>
        <w:pStyle w:val="BodyText"/>
        <w:ind w:firstLine="709"/>
        <w:jc w:val="both"/>
        <w:rPr/>
      </w:pPr>
      <w:r>
        <w:rPr/>
      </w:r>
    </w:p>
    <w:p>
      <w:pPr>
        <w:pStyle w:val="BodyText"/>
        <w:ind w:firstLine="709"/>
        <w:jc w:val="both"/>
        <w:rPr/>
      </w:pPr>
      <w:r>
        <w:rPr/>
      </w:r>
    </w:p>
    <w:p>
      <w:pPr>
        <w:pStyle w:val="BodyText"/>
        <w:ind w:firstLine="709"/>
        <w:jc w:val="both"/>
        <w:rPr/>
      </w:pPr>
      <w:r>
        <w:rPr/>
      </w:r>
    </w:p>
    <w:p>
      <w:pPr>
        <w:pStyle w:val="Heading1"/>
        <w:tabs>
          <w:tab w:val="clear" w:pos="709"/>
          <w:tab w:val="left" w:pos="1750" w:leader="none"/>
        </w:tabs>
        <w:ind w:firstLine="709" w:left="0"/>
        <w:jc w:val="center"/>
        <w:rPr/>
      </w:pPr>
      <w:r>
        <w:rPr/>
        <w:t>1.2.5. Заполнение бланка ответов №</w:t>
      </w:r>
      <w:r>
        <w:rPr>
          <w:spacing w:val="-1"/>
        </w:rPr>
        <w:t xml:space="preserve"> </w:t>
      </w:r>
      <w:r>
        <w:rPr/>
        <w:t>2</w:t>
      </w:r>
    </w:p>
    <w:p>
      <w:pPr>
        <w:pStyle w:val="Normal"/>
        <w:ind w:firstLine="709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0" allowOverlap="1" relativeHeight="15">
            <wp:simplePos x="0" y="0"/>
            <wp:positionH relativeFrom="page">
              <wp:posOffset>1350645</wp:posOffset>
            </wp:positionH>
            <wp:positionV relativeFrom="paragraph">
              <wp:posOffset>191770</wp:posOffset>
            </wp:positionV>
            <wp:extent cx="5396230" cy="7760335"/>
            <wp:effectExtent l="0" t="0" r="0" b="0"/>
            <wp:wrapTopAndBottom/>
            <wp:docPr id="18" name="Imag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20" descr="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6230" cy="776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ind w:firstLine="70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firstLine="709"/>
        <w:jc w:val="both"/>
        <w:rPr/>
      </w:pPr>
      <w:r>
        <w:rPr/>
      </w:r>
    </w:p>
    <w:p>
      <w:pPr>
        <w:pStyle w:val="BodyText"/>
        <w:ind w:firstLine="709"/>
        <w:rPr>
          <w:i/>
          <w:i/>
        </w:rPr>
      </w:pPr>
      <w:r>
        <w:rPr>
          <w:i/>
        </w:rPr>
        <w:t>Рис. 12. Бланк ответов № 2 (лист 1)</w:t>
      </w:r>
    </w:p>
    <w:p>
      <w:pPr>
        <w:pStyle w:val="BodyText"/>
        <w:ind w:firstLine="709"/>
        <w:rPr>
          <w:i/>
          <w:i/>
        </w:rPr>
      </w:pPr>
      <w:r>
        <w:rPr/>
        <w:drawing>
          <wp:inline distT="0" distB="0" distL="0" distR="0">
            <wp:extent cx="5873750" cy="8442960"/>
            <wp:effectExtent l="0" t="0" r="0" b="0"/>
            <wp:docPr id="19" name="Image 2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21" descr="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3750" cy="844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BodyText"/>
        <w:ind w:firstLine="709"/>
        <w:jc w:val="center"/>
        <w:rPr/>
      </w:pPr>
      <w:r>
        <w:rPr/>
      </w:r>
    </w:p>
    <w:p>
      <w:pPr>
        <w:pStyle w:val="BodyText"/>
        <w:ind w:firstLine="709"/>
        <w:jc w:val="both"/>
        <w:rPr/>
      </w:pPr>
      <w:r>
        <w:rPr/>
      </w:r>
    </w:p>
    <w:p>
      <w:pPr>
        <w:pStyle w:val="BodyText"/>
        <w:ind w:firstLine="709"/>
        <w:jc w:val="both"/>
        <w:rPr/>
      </w:pPr>
      <w:r>
        <w:rPr/>
      </w:r>
    </w:p>
    <w:p>
      <w:pPr>
        <w:pStyle w:val="Normal"/>
        <w:ind w:firstLine="709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Рис. 13. Бланк ответов № 2 (лист 2)</w:t>
      </w:r>
    </w:p>
    <w:p>
      <w:pPr>
        <w:pStyle w:val="BodyText"/>
        <w:ind w:firstLine="709"/>
        <w:rPr/>
      </w:pPr>
      <w:r>
        <w:rPr/>
        <w:drawing>
          <wp:inline distT="0" distB="0" distL="0" distR="0">
            <wp:extent cx="5514975" cy="7924800"/>
            <wp:effectExtent l="0" t="0" r="0" b="0"/>
            <wp:docPr id="20" name="Image 2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2" descr="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792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BodyText"/>
        <w:ind w:firstLine="709"/>
        <w:jc w:val="center"/>
        <w:rPr/>
      </w:pPr>
      <w:r>
        <w:rPr/>
      </w:r>
    </w:p>
    <w:p>
      <w:pPr>
        <w:pStyle w:val="BodyText"/>
        <w:ind w:firstLine="709"/>
        <w:jc w:val="center"/>
        <w:rPr/>
      </w:pPr>
      <w:r>
        <w:rPr/>
      </w:r>
    </w:p>
    <w:p>
      <w:pPr>
        <w:pStyle w:val="Normal"/>
        <w:ind w:firstLine="709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Рис. 14. Бланк ответов № 2 по китайскому языку (лист 1)</w:t>
      </w:r>
    </w:p>
    <w:p>
      <w:pPr>
        <w:pStyle w:val="BodyText"/>
        <w:ind w:firstLine="709"/>
        <w:rPr/>
      </w:pPr>
      <w:r>
        <w:rPr/>
      </w:r>
    </w:p>
    <w:p>
      <w:pPr>
        <w:pStyle w:val="BodyText"/>
        <w:ind w:firstLine="709"/>
        <w:jc w:val="both"/>
        <w:rPr/>
      </w:pPr>
      <w:r>
        <w:rPr/>
      </w:r>
    </w:p>
    <w:p>
      <w:pPr>
        <w:pStyle w:val="Normal"/>
        <w:ind w:firstLine="709"/>
        <w:rPr>
          <w:i/>
          <w:i/>
          <w:sz w:val="26"/>
          <w:szCs w:val="26"/>
        </w:rPr>
      </w:pPr>
      <w:r>
        <w:rPr>
          <w:i/>
          <w:sz w:val="26"/>
          <w:szCs w:val="26"/>
        </w:rPr>
      </w:r>
    </w:p>
    <w:p>
      <w:pPr>
        <w:pStyle w:val="Normal"/>
        <w:tabs>
          <w:tab w:val="clear" w:pos="709"/>
          <w:tab w:val="left" w:pos="9355" w:leader="none"/>
        </w:tabs>
        <w:ind w:firstLine="709"/>
        <w:jc w:val="both"/>
        <w:rPr>
          <w:sz w:val="26"/>
          <w:szCs w:val="26"/>
        </w:rPr>
      </w:pPr>
      <w:r>
        <w:rPr/>
        <w:drawing>
          <wp:inline distT="0" distB="0" distL="0" distR="0">
            <wp:extent cx="5721350" cy="8217535"/>
            <wp:effectExtent l="0" t="0" r="0" b="0"/>
            <wp:docPr id="21" name="Image 2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3" descr="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0" cy="821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tabs>
          <w:tab w:val="clear" w:pos="709"/>
          <w:tab w:val="left" w:pos="9355" w:leader="none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9"/>
          <w:tab w:val="left" w:pos="9355" w:leader="none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firstLine="709"/>
        <w:jc w:val="center"/>
        <w:rPr/>
      </w:pPr>
      <w:r>
        <w:rPr>
          <w:i/>
          <w:sz w:val="26"/>
          <w:szCs w:val="26"/>
        </w:rPr>
        <w:t>Рис15. Бланк ответов № 2 по китайскому языку (лист 2)</w:t>
      </w:r>
    </w:p>
    <w:p>
      <w:pPr>
        <w:pStyle w:val="Normal"/>
        <w:tabs>
          <w:tab w:val="clear" w:pos="709"/>
          <w:tab w:val="left" w:pos="9355" w:leader="none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9"/>
          <w:tab w:val="left" w:pos="9355" w:leader="none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9"/>
          <w:tab w:val="left" w:pos="9355" w:leader="none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Бланк ответов № 2 (лист 1 и лист 2) предназначен для записи ответов на задания КИМ для проведения ЕГЭ с развернутым ответом (</w:t>
      </w:r>
      <w:r>
        <w:rPr>
          <w:b/>
          <w:sz w:val="26"/>
          <w:szCs w:val="26"/>
        </w:rPr>
        <w:t>строго в соответствии с требованиями инструкции к КИМ для проведения ЕГЭ и к отдельным заданиям КИМ</w:t>
      </w:r>
      <w:r>
        <w:rPr>
          <w:sz w:val="26"/>
          <w:szCs w:val="26"/>
        </w:rPr>
        <w:t>).</w:t>
      </w:r>
    </w:p>
    <w:p>
      <w:pPr>
        <w:pStyle w:val="BodyText"/>
        <w:tabs>
          <w:tab w:val="clear" w:pos="709"/>
          <w:tab w:val="left" w:pos="9355" w:leader="none"/>
        </w:tabs>
        <w:ind w:firstLine="709"/>
        <w:jc w:val="both"/>
        <w:rPr/>
      </w:pPr>
      <w:r>
        <w:rPr>
          <w:b/>
        </w:rPr>
        <w:t xml:space="preserve">ВАЖНО!!! </w:t>
      </w:r>
      <w:r>
        <w:rPr/>
        <w:t xml:space="preserve">На ЕГЭ по иностранным языкам участники экзамена </w:t>
      </w:r>
      <w:r>
        <w:rPr>
          <w:b/>
        </w:rPr>
        <w:t xml:space="preserve">при записи развернутых ответов </w:t>
      </w:r>
      <w:r>
        <w:rPr/>
        <w:t>должны использовать диакритические знаки в соответствии с правилами орфографии соответствующего иностранного языка, правильность их использования будет учитываться при оценивании</w:t>
      </w:r>
      <w:r>
        <w:rPr>
          <w:spacing w:val="-3"/>
        </w:rPr>
        <w:t xml:space="preserve"> </w:t>
      </w:r>
      <w:r>
        <w:rPr/>
        <w:t>ответа.</w:t>
      </w:r>
    </w:p>
    <w:p>
      <w:pPr>
        <w:pStyle w:val="BodyText"/>
        <w:tabs>
          <w:tab w:val="clear" w:pos="709"/>
          <w:tab w:val="left" w:pos="9355" w:leader="none"/>
        </w:tabs>
        <w:ind w:firstLine="709"/>
        <w:jc w:val="both"/>
        <w:rPr/>
      </w:pPr>
      <w:r>
        <w:rPr/>
        <w:t>Бланк ответов № 2 (лист 1 и лист 2) по китайскому языку (рис. 14 и рис. 15) предназначен для записи ответов на задания КИМ для проведения ЕГЭ с развернутым ответом по китайскому языку (строго в соответствии с требованиями инструкции к КИМ для проведения ЕГЭ и к отдельным заданиям КИМ). Каждый иероглифический знак и каждый знак препинания следует писать внутри отдельной клетки в поле ответов бланка ответов № 2 (дополнительного бланка ответов № 2) (рис.</w:t>
      </w:r>
      <w:r>
        <w:rPr>
          <w:spacing w:val="-2"/>
        </w:rPr>
        <w:t xml:space="preserve"> </w:t>
      </w:r>
      <w:r>
        <w:rPr/>
        <w:t>16).</w:t>
      </w:r>
    </w:p>
    <w:p>
      <w:pPr>
        <w:pStyle w:val="BodyText"/>
        <w:ind w:firstLine="709"/>
        <w:jc w:val="both"/>
        <w:rPr/>
      </w:pPr>
      <w:r>
        <w:rPr/>
        <w:drawing>
          <wp:anchor behindDoc="0" distT="0" distB="0" distL="0" distR="0" simplePos="0" locked="0" layoutInCell="0" allowOverlap="1" relativeHeight="23">
            <wp:simplePos x="0" y="0"/>
            <wp:positionH relativeFrom="page">
              <wp:posOffset>1924050</wp:posOffset>
            </wp:positionH>
            <wp:positionV relativeFrom="paragraph">
              <wp:posOffset>280670</wp:posOffset>
            </wp:positionV>
            <wp:extent cx="4197350" cy="609600"/>
            <wp:effectExtent l="0" t="0" r="0" b="0"/>
            <wp:wrapTopAndBottom/>
            <wp:docPr id="22" name="image24.png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24.png" descr="1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735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BodyText"/>
        <w:ind w:firstLine="709"/>
        <w:jc w:val="both"/>
        <w:rPr/>
      </w:pPr>
      <w:r>
        <w:rPr/>
      </w:r>
    </w:p>
    <w:p>
      <w:pPr>
        <w:pStyle w:val="Normal"/>
        <w:ind w:firstLine="709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Рис.16. Образец написания иероглифических знаков</w:t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tabs>
          <w:tab w:val="clear" w:pos="709"/>
          <w:tab w:val="left" w:pos="9356" w:leader="none"/>
        </w:tabs>
        <w:ind w:firstLine="709"/>
        <w:jc w:val="both"/>
        <w:rPr/>
      </w:pPr>
      <w:r>
        <w:rPr/>
        <w:t>Записи в лист 1 и лист 2 бланка ответов № 2 делаются в следующей последовательности: сначала заполняется лист 1, затем заполняется лист 2. Записи делаются строго на лицевой стороне, оборотная сторона листов бланка ответов № 2 НЕ</w:t>
      </w:r>
      <w:r>
        <w:rPr>
          <w:spacing w:val="-1"/>
        </w:rPr>
        <w:t xml:space="preserve"> </w:t>
      </w:r>
      <w:r>
        <w:rPr/>
        <w:t>ЗАПОЛНЯЕТСЯ!!!</w:t>
      </w:r>
    </w:p>
    <w:p>
      <w:pPr>
        <w:pStyle w:val="BodyText"/>
        <w:ind w:firstLine="709"/>
        <w:jc w:val="both"/>
        <w:rPr/>
      </w:pPr>
      <w:r>
        <w:rPr/>
        <w:t>При недостатке места для ответов на бланке ответов № 2 (лист 1 и лист 2) участник экзамена должен попросить дополнительный бланк ответов № 2. В случае заполнения дополнительного бланка ответов № 2 при незаполненных листах (листа 1 и/или листа 2) основного бланка ответов № 2 ответы, внесенные в дополнительный бланк ответов № 2, НЕ</w:t>
      </w:r>
      <w:r>
        <w:rPr>
          <w:spacing w:val="-1"/>
        </w:rPr>
        <w:t xml:space="preserve"> </w:t>
      </w:r>
      <w:r>
        <w:rPr/>
        <w:t>ОЦЕНИВАЮТСЯ.</w:t>
      </w:r>
    </w:p>
    <w:p>
      <w:pPr>
        <w:pStyle w:val="BodyText"/>
        <w:ind w:firstLine="709"/>
        <w:jc w:val="both"/>
        <w:rPr/>
      </w:pPr>
      <w:r>
        <w:rPr/>
        <w:t>Запрещается делать какие-либо записи и пометки, не относящиеся к ответам на задания, в том числе содержащие информацию о персональных данных участника экзамена. При наличии указанных записей и пометок ответы, внесенные в бланки, НЕ</w:t>
      </w:r>
      <w:r>
        <w:rPr>
          <w:spacing w:val="-1"/>
        </w:rPr>
        <w:t xml:space="preserve"> </w:t>
      </w:r>
      <w:r>
        <w:rPr/>
        <w:t>ПРОВЕРЯЮТСЯ.</w:t>
      </w:r>
    </w:p>
    <w:p>
      <w:pPr>
        <w:pStyle w:val="BodyText"/>
        <w:ind w:firstLine="709"/>
        <w:jc w:val="both"/>
        <w:rPr/>
      </w:pPr>
      <w:r>
        <w:rPr/>
        <w:t>Поля верхней части бланка ответов № 2 («Код региона», «Код предмета» и «Название предмета») заполняются автоматически в соответствии с информацией, внесенной в бланк регистрации и бланк ответов № 1. В лист 1 бланка ответов № 2 автоматически вносится цифровое значение горизонтального штрихкода листа 2 бланка ответов № 2. Поле «Резерв-5» не</w:t>
      </w:r>
      <w:r>
        <w:rPr>
          <w:spacing w:val="-2"/>
        </w:rPr>
        <w:t xml:space="preserve"> </w:t>
      </w:r>
      <w:r>
        <w:rPr/>
        <w:t>заполняется.</w:t>
      </w:r>
    </w:p>
    <w:p>
      <w:pPr>
        <w:pStyle w:val="Normal"/>
        <w:ind w:firstLine="709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При проведении ЕГЭ в ППЭ с использованием ЭМ ЕГЭ на бумажных носителях поле «Код региона» заполняется участником экзамена. Автоматически заполняются только поля «Код предмета», «Название предмета».</w:t>
      </w:r>
    </w:p>
    <w:p>
      <w:pPr>
        <w:pStyle w:val="BodyText"/>
        <w:ind w:firstLine="709"/>
        <w:jc w:val="both"/>
        <w:rPr/>
      </w:pPr>
      <w:r>
        <w:rPr/>
        <w:t>Поле «Дополнительный бланк ответов № 2» в листе 2 бланка ответов № 2 заполняет организатор в аудитории только при выдаче дополнительного бланка ответов № 2, вписывая в это поле цифровое значение штрихкода дополнительного бланка ответов № 2 (расположенное под штрихкодом бланка), который выдается участнику экзамена. Если дополнительный бланк ответов № 2 не выдавался, то поле «Дополнительный бланк ответов № 2» остается пустым. Поле «Резерв-6» не заполняется. Если область ответов бланка ответов № 2 (лист 1 и лист 2) и дополнительных бланков ответов № 2 содержит незаполненные области, то организаторы погашают их только на лицевой стороне бланка следующим образом: «Z»</w:t>
      </w:r>
      <w:r>
        <w:rPr>
          <w:rStyle w:val="FootnoteReference"/>
        </w:rPr>
        <w:footnoteReference w:id="2"/>
      </w:r>
      <w:r>
        <w:rPr/>
        <w:t>.</w:t>
      </w:r>
    </w:p>
    <w:p>
      <w:pPr>
        <w:pStyle w:val="BodyText"/>
        <w:ind w:firstLine="709"/>
        <w:jc w:val="both"/>
        <w:rPr/>
      </w:pPr>
      <w:r>
        <w:rPr/>
      </w:r>
    </w:p>
    <w:p>
      <w:pPr>
        <w:pStyle w:val="BodyText"/>
        <w:ind w:firstLine="709"/>
        <w:jc w:val="both"/>
        <w:rPr/>
      </w:pPr>
      <w:r>
        <w:rPr/>
      </w:r>
    </w:p>
    <w:p>
      <w:pPr>
        <w:pStyle w:val="BodyText"/>
        <w:ind w:firstLine="709"/>
        <w:jc w:val="both"/>
        <w:rPr/>
      </w:pPr>
      <w:r>
        <w:rPr/>
      </w:r>
    </w:p>
    <w:p>
      <w:pPr>
        <w:pStyle w:val="BodyText"/>
        <w:ind w:firstLine="709"/>
        <w:jc w:val="both"/>
        <w:rPr/>
      </w:pPr>
      <w:r>
        <w:rPr/>
      </w:r>
    </w:p>
    <w:p>
      <w:pPr>
        <w:pStyle w:val="BodyText"/>
        <w:ind w:firstLine="709"/>
        <w:jc w:val="both"/>
        <w:rPr/>
      </w:pPr>
      <w:r>
        <w:rPr/>
      </w:r>
    </w:p>
    <w:p>
      <w:pPr>
        <w:pStyle w:val="BodyText"/>
        <w:ind w:firstLine="709"/>
        <w:jc w:val="both"/>
        <w:rPr/>
      </w:pPr>
      <w:r>
        <w:rPr/>
      </w:r>
    </w:p>
    <w:p>
      <w:pPr>
        <w:pStyle w:val="BodyText"/>
        <w:ind w:firstLine="709"/>
        <w:jc w:val="both"/>
        <w:rPr/>
      </w:pPr>
      <w:r>
        <w:rPr/>
      </w:r>
    </w:p>
    <w:p>
      <w:pPr>
        <w:pStyle w:val="BodyText"/>
        <w:ind w:firstLine="709"/>
        <w:jc w:val="both"/>
        <w:rPr/>
      </w:pPr>
      <w:r>
        <w:rPr/>
      </w:r>
    </w:p>
    <w:p>
      <w:pPr>
        <w:pStyle w:val="BodyText"/>
        <w:ind w:firstLine="709"/>
        <w:jc w:val="both"/>
        <w:rPr/>
      </w:pPr>
      <w:r>
        <w:rPr/>
      </w:r>
    </w:p>
    <w:p>
      <w:pPr>
        <w:pStyle w:val="BodyText"/>
        <w:ind w:firstLine="709"/>
        <w:jc w:val="both"/>
        <w:rPr/>
      </w:pPr>
      <w:r>
        <w:rPr/>
      </w:r>
    </w:p>
    <w:p>
      <w:pPr>
        <w:pStyle w:val="BodyText"/>
        <w:ind w:firstLine="709"/>
        <w:jc w:val="both"/>
        <w:rPr/>
      </w:pPr>
      <w:r>
        <w:rPr/>
      </w:r>
    </w:p>
    <w:p>
      <w:pPr>
        <w:pStyle w:val="BodyText"/>
        <w:ind w:firstLine="709"/>
        <w:jc w:val="both"/>
        <w:rPr/>
      </w:pPr>
      <w:r>
        <w:rPr/>
      </w:r>
    </w:p>
    <w:p>
      <w:pPr>
        <w:pStyle w:val="BodyText"/>
        <w:ind w:firstLine="709"/>
        <w:jc w:val="both"/>
        <w:rPr/>
      </w:pPr>
      <w:r>
        <w:rPr/>
      </w:r>
    </w:p>
    <w:p>
      <w:pPr>
        <w:pStyle w:val="BodyText"/>
        <w:ind w:firstLine="709"/>
        <w:jc w:val="both"/>
        <w:rPr/>
      </w:pPr>
      <w:r>
        <w:rPr/>
      </w:r>
    </w:p>
    <w:p>
      <w:pPr>
        <w:pStyle w:val="BodyText"/>
        <w:ind w:firstLine="709"/>
        <w:jc w:val="both"/>
        <w:rPr/>
      </w:pPr>
      <w:r>
        <w:rPr/>
      </w:r>
    </w:p>
    <w:p>
      <w:pPr>
        <w:pStyle w:val="BodyText"/>
        <w:ind w:firstLine="709"/>
        <w:jc w:val="both"/>
        <w:rPr/>
      </w:pPr>
      <w:r>
        <w:rPr/>
      </w:r>
    </w:p>
    <w:p>
      <w:pPr>
        <w:pStyle w:val="BodyText"/>
        <w:ind w:firstLine="709"/>
        <w:jc w:val="both"/>
        <w:rPr/>
      </w:pPr>
      <w:r>
        <w:rPr/>
      </w:r>
    </w:p>
    <w:p>
      <w:pPr>
        <w:pStyle w:val="BodyText"/>
        <w:ind w:firstLine="709"/>
        <w:jc w:val="both"/>
        <w:rPr/>
      </w:pPr>
      <w:r>
        <w:rPr/>
      </w:r>
    </w:p>
    <w:p>
      <w:pPr>
        <w:pStyle w:val="BodyText"/>
        <w:ind w:firstLine="709"/>
        <w:jc w:val="both"/>
        <w:rPr/>
      </w:pPr>
      <w:r>
        <w:rPr/>
      </w:r>
    </w:p>
    <w:p>
      <w:pPr>
        <w:pStyle w:val="BodyText"/>
        <w:ind w:firstLine="709"/>
        <w:jc w:val="both"/>
        <w:rPr/>
      </w:pPr>
      <w:r>
        <w:rPr/>
      </w:r>
    </w:p>
    <w:p>
      <w:pPr>
        <w:pStyle w:val="BodyText"/>
        <w:ind w:firstLine="709"/>
        <w:jc w:val="both"/>
        <w:rPr/>
      </w:pPr>
      <w:r>
        <w:rPr/>
      </w:r>
    </w:p>
    <w:p>
      <w:pPr>
        <w:pStyle w:val="BodyText"/>
        <w:ind w:firstLine="709"/>
        <w:jc w:val="both"/>
        <w:rPr/>
      </w:pPr>
      <w:r>
        <w:rPr/>
      </w:r>
    </w:p>
    <w:p>
      <w:pPr>
        <w:pStyle w:val="BodyText"/>
        <w:ind w:firstLine="709"/>
        <w:jc w:val="both"/>
        <w:rPr/>
      </w:pPr>
      <w:r>
        <w:rPr/>
      </w:r>
    </w:p>
    <w:p>
      <w:pPr>
        <w:pStyle w:val="BodyText"/>
        <w:ind w:firstLine="709"/>
        <w:jc w:val="both"/>
        <w:rPr/>
      </w:pPr>
      <w:r>
        <w:rPr/>
      </w:r>
    </w:p>
    <w:p>
      <w:pPr>
        <w:pStyle w:val="BodyText"/>
        <w:ind w:firstLine="709"/>
        <w:jc w:val="both"/>
        <w:rPr/>
      </w:pPr>
      <w:r>
        <w:rPr/>
      </w:r>
    </w:p>
    <w:p>
      <w:pPr>
        <w:pStyle w:val="BodyText"/>
        <w:ind w:firstLine="709"/>
        <w:jc w:val="both"/>
        <w:rPr/>
      </w:pPr>
      <w:r>
        <w:rPr/>
      </w:r>
    </w:p>
    <w:p>
      <w:pPr>
        <w:pStyle w:val="BodyText"/>
        <w:ind w:firstLine="709"/>
        <w:jc w:val="both"/>
        <w:rPr/>
      </w:pPr>
      <w:r>
        <w:rPr/>
      </w:r>
    </w:p>
    <w:p>
      <w:pPr>
        <w:pStyle w:val="BodyText"/>
        <w:ind w:firstLine="709"/>
        <w:jc w:val="both"/>
        <w:rPr/>
      </w:pPr>
      <w:r>
        <w:rPr/>
      </w:r>
    </w:p>
    <w:p>
      <w:pPr>
        <w:pStyle w:val="BodyText"/>
        <w:ind w:firstLine="709"/>
        <w:jc w:val="both"/>
        <w:rPr/>
      </w:pPr>
      <w:r>
        <w:rPr/>
      </w:r>
    </w:p>
    <w:p>
      <w:pPr>
        <w:pStyle w:val="BodyText"/>
        <w:ind w:firstLine="709"/>
        <w:jc w:val="both"/>
        <w:rPr/>
      </w:pPr>
      <w:r>
        <w:rPr/>
      </w:r>
    </w:p>
    <w:p>
      <w:pPr>
        <w:pStyle w:val="BodyText"/>
        <w:ind w:firstLine="709"/>
        <w:rPr/>
      </w:pPr>
      <w:r>
        <w:rPr/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1"/>
        <w:tabs>
          <w:tab w:val="clear" w:pos="709"/>
          <w:tab w:val="left" w:pos="1750" w:leader="none"/>
        </w:tabs>
        <w:ind w:firstLine="709" w:left="0"/>
        <w:jc w:val="center"/>
        <w:rPr/>
      </w:pPr>
      <w:r>
        <w:rPr/>
        <w:t>1.2.6. Заполнение дополнительного бланка ответов №</w:t>
      </w:r>
      <w:r>
        <w:rPr>
          <w:spacing w:val="-3"/>
        </w:rPr>
        <w:t xml:space="preserve"> </w:t>
      </w:r>
      <w:r>
        <w:rPr/>
        <w:t>2</w:t>
      </w:r>
    </w:p>
    <w:p>
      <w:pPr>
        <w:pStyle w:val="Heading1"/>
        <w:tabs>
          <w:tab w:val="clear" w:pos="709"/>
          <w:tab w:val="left" w:pos="1750" w:leader="none"/>
        </w:tabs>
        <w:ind w:firstLine="709" w:left="0"/>
        <w:rPr/>
      </w:pPr>
      <w:r>
        <w:rPr/>
      </w:r>
    </w:p>
    <w:p>
      <w:pPr>
        <w:pStyle w:val="Normal"/>
        <w:ind w:firstLine="709"/>
        <w:rPr>
          <w:i/>
          <w:i/>
          <w:sz w:val="26"/>
          <w:szCs w:val="26"/>
        </w:rPr>
      </w:pPr>
      <w:r>
        <w:rPr>
          <w:i/>
          <w:sz w:val="26"/>
          <w:szCs w:val="26"/>
        </w:rPr>
        <w:drawing>
          <wp:anchor behindDoc="1" distT="0" distB="0" distL="0" distR="0" simplePos="0" locked="0" layoutInCell="0" allowOverlap="1" relativeHeight="16">
            <wp:simplePos x="0" y="0"/>
            <wp:positionH relativeFrom="page">
              <wp:posOffset>1259840</wp:posOffset>
            </wp:positionH>
            <wp:positionV relativeFrom="paragraph">
              <wp:posOffset>198120</wp:posOffset>
            </wp:positionV>
            <wp:extent cx="5586730" cy="8034655"/>
            <wp:effectExtent l="0" t="0" r="0" b="0"/>
            <wp:wrapTopAndBottom/>
            <wp:docPr id="23" name="Image 2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6" descr="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6730" cy="8034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ind w:firstLine="709"/>
        <w:jc w:val="center"/>
        <w:rPr>
          <w:i/>
          <w:i/>
          <w:sz w:val="26"/>
          <w:szCs w:val="26"/>
        </w:rPr>
      </w:pPr>
      <w:r>
        <w:rPr>
          <w:i/>
        </w:rPr>
        <w:t>Рис. 17. Дополнительный бланк ответов № 2</w:t>
      </w:r>
    </w:p>
    <w:p>
      <w:pPr>
        <w:pStyle w:val="Normal"/>
        <w:ind w:firstLine="70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firstLine="709"/>
        <w:rPr>
          <w:i/>
          <w:i/>
          <w:sz w:val="26"/>
          <w:szCs w:val="26"/>
        </w:rPr>
      </w:pPr>
      <w:r>
        <w:rPr>
          <w:i/>
          <w:sz w:val="26"/>
          <w:szCs w:val="26"/>
        </w:rPr>
      </w:r>
    </w:p>
    <w:p>
      <w:pPr>
        <w:pStyle w:val="BodyText"/>
        <w:ind w:firstLine="709"/>
        <w:jc w:val="both"/>
        <w:rPr/>
      </w:pPr>
      <w:r>
        <w:rPr/>
        <w:drawing>
          <wp:inline distT="0" distB="0" distL="0" distR="0">
            <wp:extent cx="5648960" cy="8126095"/>
            <wp:effectExtent l="0" t="0" r="0" b="0"/>
            <wp:docPr id="24" name="Image 2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7" descr="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960" cy="8126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BodyText"/>
        <w:ind w:firstLine="709"/>
        <w:jc w:val="both"/>
        <w:rPr/>
      </w:pPr>
      <w:r>
        <w:rPr/>
      </w:r>
    </w:p>
    <w:p>
      <w:pPr>
        <w:pStyle w:val="BodyText"/>
        <w:ind w:firstLine="709"/>
        <w:jc w:val="both"/>
        <w:rPr/>
      </w:pPr>
      <w:r>
        <w:rPr/>
      </w:r>
    </w:p>
    <w:p>
      <w:pPr>
        <w:pStyle w:val="Normal"/>
        <w:ind w:firstLine="709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Рис. 18. Дополнительный бланк ответов № 2 ЕГЭ по китайскому языку</w:t>
      </w:r>
    </w:p>
    <w:p>
      <w:pPr>
        <w:pStyle w:val="BodyText"/>
        <w:ind w:firstLine="709"/>
        <w:jc w:val="both"/>
        <w:rPr/>
      </w:pPr>
      <w:r>
        <w:rPr/>
      </w:r>
    </w:p>
    <w:p>
      <w:pPr>
        <w:pStyle w:val="BodyText"/>
        <w:ind w:firstLine="709"/>
        <w:jc w:val="both"/>
        <w:rPr/>
      </w:pPr>
      <w:r>
        <w:rPr/>
      </w:r>
    </w:p>
    <w:p>
      <w:pPr>
        <w:pStyle w:val="BodyText"/>
        <w:ind w:firstLine="709"/>
        <w:jc w:val="both"/>
        <w:rPr/>
      </w:pPr>
      <w:r>
        <w:rPr/>
        <w:t>Дополнительный бланк ответов № 2 (рис. 17, рис. 18) выдается организатором в аудитории по просьбе участника экзамена в случае, если места на бланке ответов № 2 (лист 1 и лист 2) для записи развернутых ответов</w:t>
      </w:r>
      <w:r>
        <w:rPr>
          <w:spacing w:val="-10"/>
        </w:rPr>
        <w:t xml:space="preserve"> </w:t>
      </w:r>
      <w:r>
        <w:rPr/>
        <w:t>недостаточно.</w:t>
      </w:r>
    </w:p>
    <w:p>
      <w:pPr>
        <w:pStyle w:val="BodyText"/>
        <w:ind w:firstLine="709"/>
        <w:jc w:val="both"/>
        <w:rPr/>
      </w:pPr>
      <w:r>
        <w:rPr/>
        <w:t>Запрещается делать какие-либо записи и пометки, не относящиеся к ответам на задания, в том числе содержащие информацию о персональных данных участника экзамена. При наличии указанных записей и пометок ответы, внесенные в бланки, НЕ</w:t>
      </w:r>
      <w:r>
        <w:rPr>
          <w:spacing w:val="-1"/>
        </w:rPr>
        <w:t xml:space="preserve"> </w:t>
      </w:r>
      <w:r>
        <w:rPr/>
        <w:t>ПРОВЕРЯЮТСЯ.</w:t>
      </w:r>
    </w:p>
    <w:p>
      <w:pPr>
        <w:pStyle w:val="BodyText"/>
        <w:ind w:firstLine="709"/>
        <w:jc w:val="both"/>
        <w:rPr/>
      </w:pPr>
      <w:r>
        <w:rPr/>
        <w:t>В верхней части бланка поле «Код региона» заполняется автоматически, поля</w:t>
      </w:r>
    </w:p>
    <w:p>
      <w:pPr>
        <w:pStyle w:val="BodyText"/>
        <w:ind w:firstLine="709"/>
        <w:jc w:val="both"/>
        <w:rPr/>
      </w:pPr>
      <w:r>
        <w:rPr/>
        <w:t>«Код предмета» и «Название предмета» заполняются участником экзамена и должны полностью соответствовать информации, указанной в бланке ответов № 2.</w:t>
      </w:r>
    </w:p>
    <w:p>
      <w:pPr>
        <w:pStyle w:val="Normal"/>
        <w:ind w:firstLine="709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При проведении ЕГЭ в ППЭ с использованием ЭМ ЕГЭ на бумажных носителях заполняются поля «Код региона», «Код предмета», «Название предмета».</w:t>
      </w:r>
    </w:p>
    <w:p>
      <w:pPr>
        <w:pStyle w:val="BodyText"/>
        <w:ind w:firstLine="709"/>
        <w:jc w:val="both"/>
        <w:rPr/>
      </w:pPr>
      <w:r>
        <w:rPr/>
        <w:t xml:space="preserve">Поле «Дополнительный бланк ответов № 2» </w:t>
      </w:r>
      <w:r>
        <w:rPr>
          <w:b/>
        </w:rPr>
        <w:t xml:space="preserve">заполняется </w:t>
      </w:r>
      <w:r>
        <w:rPr/>
        <w:t xml:space="preserve">организатором в аудитории </w:t>
      </w:r>
      <w:r>
        <w:rPr>
          <w:b/>
        </w:rPr>
        <w:t>только при выдаче следующего дополнительного бланка ответов № 2</w:t>
      </w:r>
      <w:r>
        <w:rPr/>
        <w:t>, если участнику экзамена не хватило места на ранее выданных дополнительных бланках ответов № 2. В этом случае организатор в аудитории вносит в это поле цифровое значение штрихкода следующего дополнительного бланка ответов № 2 (расположенное под штрихкодом бланка), который выдает участнику экзамена для заполнения. Если дополнительный бланк ответов № 2 не выдавался, то поле «Дополнительный бланк ответов № 2» остается</w:t>
      </w:r>
      <w:r>
        <w:rPr>
          <w:spacing w:val="-1"/>
        </w:rPr>
        <w:t xml:space="preserve"> </w:t>
      </w:r>
      <w:r>
        <w:rPr/>
        <w:t>пустым.</w:t>
      </w:r>
    </w:p>
    <w:p>
      <w:pPr>
        <w:pStyle w:val="BodyText"/>
        <w:ind w:firstLine="709"/>
        <w:jc w:val="both"/>
        <w:rPr/>
      </w:pPr>
      <w:r>
        <w:rPr/>
        <w:t>В поле «Лист» организатор в аудитории при выдаче дополнительного бланка ответов № 2 вносит порядковый номер листа работы участника экзамена, начиная с цифры 3. Поле «Резерв-6» не</w:t>
      </w:r>
      <w:r>
        <w:rPr>
          <w:spacing w:val="-3"/>
        </w:rPr>
        <w:t xml:space="preserve"> </w:t>
      </w:r>
      <w:r>
        <w:rPr/>
        <w:t>заполняется.</w:t>
      </w:r>
    </w:p>
    <w:p>
      <w:pPr>
        <w:pStyle w:val="BodyText"/>
        <w:ind w:firstLine="709"/>
        <w:jc w:val="both"/>
        <w:rPr/>
      </w:pPr>
      <w:r>
        <w:rPr/>
        <w:t>При заполнении дополнительного бланка ответов № 2 по китайскому языку каждый иероглифический знак и каждый знак препинания следует писать внутри отдельной клетки области ответов.</w:t>
      </w:r>
    </w:p>
    <w:p>
      <w:pPr>
        <w:pStyle w:val="BodyText"/>
        <w:ind w:firstLine="709"/>
        <w:jc w:val="both"/>
        <w:rPr/>
      </w:pPr>
      <w:r>
        <w:rPr/>
        <w:t>Ответы, внесенные в каждый следующий дополнительный бланк ответов № 2, оцениваются только при наличии полностью заполненного предыдущего дополнительного бланка ответов № 2.</w:t>
      </w:r>
    </w:p>
    <w:p>
      <w:pPr>
        <w:pStyle w:val="BodyText"/>
        <w:ind w:firstLine="709"/>
        <w:jc w:val="both"/>
        <w:rPr/>
      </w:pPr>
      <w:r>
        <w:rPr/>
        <w:t>Если дополнительный бланк ответов № 2 содержит незаполненные области (за исключением регистрационных полей), то организаторы погашают их только на лицевой стороне бланка следующим образом:</w:t>
      </w:r>
      <w:r>
        <w:rPr>
          <w:spacing w:val="4"/>
        </w:rPr>
        <w:t xml:space="preserve"> </w:t>
      </w:r>
      <w:r>
        <w:rPr/>
        <w:t>«Z».</w:t>
      </w:r>
    </w:p>
    <w:p>
      <w:pPr>
        <w:pStyle w:val="BodyText"/>
        <w:ind w:firstLine="709"/>
        <w:jc w:val="both"/>
        <w:rPr/>
      </w:pPr>
      <w:r>
        <w:rPr/>
      </w:r>
    </w:p>
    <w:p>
      <w:pPr>
        <w:pStyle w:val="BodyText"/>
        <w:ind w:firstLine="709"/>
        <w:jc w:val="both"/>
        <w:rPr/>
      </w:pPr>
      <w:r>
        <w:rPr/>
      </w:r>
    </w:p>
    <w:p>
      <w:pPr>
        <w:pStyle w:val="Heading1"/>
        <w:tabs>
          <w:tab w:val="clear" w:pos="709"/>
          <w:tab w:val="left" w:pos="1561" w:leader="none"/>
        </w:tabs>
        <w:overflowPunct w:val="false"/>
        <w:ind w:firstLine="709" w:left="0"/>
        <w:jc w:val="both"/>
        <w:rPr/>
      </w:pPr>
      <w:r>
        <w:rPr/>
      </w:r>
    </w:p>
    <w:p>
      <w:pPr>
        <w:pStyle w:val="Heading1"/>
        <w:tabs>
          <w:tab w:val="clear" w:pos="709"/>
          <w:tab w:val="left" w:pos="1561" w:leader="none"/>
        </w:tabs>
        <w:overflowPunct w:val="false"/>
        <w:ind w:firstLine="709" w:left="0"/>
        <w:jc w:val="both"/>
        <w:rPr/>
      </w:pPr>
      <w:r>
        <w:rPr/>
      </w:r>
    </w:p>
    <w:p>
      <w:pPr>
        <w:pStyle w:val="Heading1"/>
        <w:tabs>
          <w:tab w:val="clear" w:pos="709"/>
          <w:tab w:val="left" w:pos="1561" w:leader="none"/>
        </w:tabs>
        <w:overflowPunct w:val="false"/>
        <w:ind w:firstLine="709" w:left="0"/>
        <w:jc w:val="both"/>
        <w:rPr/>
      </w:pPr>
      <w:r>
        <w:rPr/>
      </w:r>
    </w:p>
    <w:p>
      <w:pPr>
        <w:pStyle w:val="Heading1"/>
        <w:tabs>
          <w:tab w:val="clear" w:pos="709"/>
          <w:tab w:val="left" w:pos="1561" w:leader="none"/>
        </w:tabs>
        <w:overflowPunct w:val="false"/>
        <w:ind w:firstLine="709" w:left="0"/>
        <w:jc w:val="both"/>
        <w:rPr/>
      </w:pPr>
      <w:r>
        <w:rPr/>
      </w:r>
    </w:p>
    <w:p>
      <w:pPr>
        <w:pStyle w:val="Heading1"/>
        <w:tabs>
          <w:tab w:val="clear" w:pos="709"/>
          <w:tab w:val="left" w:pos="1561" w:leader="none"/>
        </w:tabs>
        <w:overflowPunct w:val="false"/>
        <w:ind w:firstLine="709" w:left="0"/>
        <w:jc w:val="both"/>
        <w:rPr/>
      </w:pPr>
      <w:r>
        <w:rPr/>
      </w:r>
    </w:p>
    <w:p>
      <w:pPr>
        <w:pStyle w:val="Heading1"/>
        <w:tabs>
          <w:tab w:val="clear" w:pos="709"/>
          <w:tab w:val="left" w:pos="1561" w:leader="none"/>
        </w:tabs>
        <w:overflowPunct w:val="false"/>
        <w:ind w:firstLine="709" w:left="0"/>
        <w:jc w:val="both"/>
        <w:rPr/>
      </w:pPr>
      <w:r>
        <w:rPr/>
      </w:r>
    </w:p>
    <w:p>
      <w:pPr>
        <w:pStyle w:val="Heading1"/>
        <w:tabs>
          <w:tab w:val="clear" w:pos="709"/>
          <w:tab w:val="left" w:pos="1561" w:leader="none"/>
        </w:tabs>
        <w:overflowPunct w:val="false"/>
        <w:ind w:firstLine="709" w:left="0"/>
        <w:jc w:val="both"/>
        <w:rPr/>
      </w:pPr>
      <w:r>
        <w:rPr/>
      </w:r>
    </w:p>
    <w:p>
      <w:pPr>
        <w:pStyle w:val="Heading1"/>
        <w:tabs>
          <w:tab w:val="clear" w:pos="709"/>
          <w:tab w:val="left" w:pos="1561" w:leader="none"/>
        </w:tabs>
        <w:overflowPunct w:val="false"/>
        <w:ind w:firstLine="709" w:left="0"/>
        <w:jc w:val="both"/>
        <w:rPr/>
      </w:pPr>
      <w:r>
        <w:rPr/>
      </w:r>
    </w:p>
    <w:p>
      <w:pPr>
        <w:pStyle w:val="Heading1"/>
        <w:tabs>
          <w:tab w:val="clear" w:pos="709"/>
          <w:tab w:val="left" w:pos="1561" w:leader="none"/>
        </w:tabs>
        <w:overflowPunct w:val="false"/>
        <w:ind w:firstLine="709" w:left="0"/>
        <w:jc w:val="both"/>
        <w:rPr/>
      </w:pPr>
      <w:r>
        <w:rPr/>
      </w:r>
    </w:p>
    <w:p>
      <w:pPr>
        <w:pStyle w:val="Heading1"/>
        <w:tabs>
          <w:tab w:val="clear" w:pos="709"/>
          <w:tab w:val="left" w:pos="1561" w:leader="none"/>
        </w:tabs>
        <w:overflowPunct w:val="false"/>
        <w:ind w:firstLine="709" w:left="0"/>
        <w:jc w:val="both"/>
        <w:rPr/>
      </w:pPr>
      <w:r>
        <w:rPr/>
      </w:r>
    </w:p>
    <w:p>
      <w:pPr>
        <w:pStyle w:val="Heading1"/>
        <w:tabs>
          <w:tab w:val="clear" w:pos="709"/>
          <w:tab w:val="left" w:pos="1561" w:leader="none"/>
        </w:tabs>
        <w:overflowPunct w:val="false"/>
        <w:ind w:firstLine="709" w:left="0"/>
        <w:jc w:val="both"/>
        <w:rPr/>
      </w:pPr>
      <w:r>
        <w:rPr/>
      </w:r>
    </w:p>
    <w:p>
      <w:pPr>
        <w:pStyle w:val="Heading1"/>
        <w:tabs>
          <w:tab w:val="clear" w:pos="709"/>
          <w:tab w:val="left" w:pos="1561" w:leader="none"/>
        </w:tabs>
        <w:overflowPunct w:val="false"/>
        <w:ind w:firstLine="709" w:left="0"/>
        <w:jc w:val="both"/>
        <w:rPr/>
      </w:pPr>
      <w:r>
        <w:rPr/>
      </w:r>
    </w:p>
    <w:p>
      <w:pPr>
        <w:pStyle w:val="Heading1"/>
        <w:ind w:firstLine="709" w:left="0"/>
        <w:jc w:val="center"/>
        <w:rPr/>
      </w:pPr>
      <w:r>
        <w:rPr/>
      </w:r>
    </w:p>
    <w:p>
      <w:pPr>
        <w:pStyle w:val="Heading1"/>
        <w:ind w:firstLine="709" w:left="0"/>
        <w:jc w:val="center"/>
        <w:rPr/>
      </w:pPr>
      <w:r>
        <w:rPr/>
        <w:t>Правила заполнения бланков государственной итоговой аттестации по образовательным программам среднего общего образования в форме</w:t>
      </w:r>
    </w:p>
    <w:p>
      <w:pPr>
        <w:pStyle w:val="Normal"/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государственного выпускного экзамена в 2024 году</w:t>
      </w:r>
    </w:p>
    <w:p>
      <w:pPr>
        <w:pStyle w:val="Heading1"/>
        <w:tabs>
          <w:tab w:val="clear" w:pos="709"/>
          <w:tab w:val="left" w:pos="1561" w:leader="none"/>
        </w:tabs>
        <w:overflowPunct w:val="false"/>
        <w:ind w:firstLine="709" w:left="0"/>
        <w:jc w:val="both"/>
        <w:rPr/>
      </w:pPr>
      <w:r>
        <w:rPr/>
      </w:r>
    </w:p>
    <w:p>
      <w:pPr>
        <w:pStyle w:val="Heading1"/>
        <w:numPr>
          <w:ilvl w:val="3"/>
          <w:numId w:val="7"/>
        </w:numPr>
        <w:ind w:firstLine="709" w:left="0"/>
        <w:jc w:val="center"/>
        <w:rPr/>
      </w:pPr>
      <w:r>
        <w:rPr/>
        <w:t>Бланки</w:t>
      </w:r>
      <w:r>
        <w:rPr>
          <w:spacing w:val="-2"/>
        </w:rPr>
        <w:t xml:space="preserve"> </w:t>
      </w:r>
      <w:r>
        <w:rPr/>
        <w:t>ГВЭ</w:t>
      </w:r>
    </w:p>
    <w:p>
      <w:pPr>
        <w:pStyle w:val="Normal"/>
        <w:rPr/>
      </w:pPr>
      <w:r>
        <w:rPr/>
      </w:r>
    </w:p>
    <w:p>
      <w:pPr>
        <w:pStyle w:val="BodyText"/>
        <w:widowControl w:val="false"/>
        <w:suppressAutoHyphens w:val="true"/>
        <w:bidi w:val="0"/>
        <w:spacing w:lineRule="auto" w:line="240" w:before="0" w:after="0"/>
        <w:ind w:firstLine="709"/>
        <w:jc w:val="both"/>
        <w:rPr>
          <w:rFonts w:ascii="Times New Roman" w:hAnsi="Times New Roman" w:eastAsia="" w:cs="Times New Roman" w:eastAsiaTheme="minorEastAsia"/>
          <w:color w:val="auto"/>
          <w:kern w:val="0"/>
          <w:lang w:val="ru-RU" w:eastAsia="ru-RU" w:bidi="ar-SA"/>
        </w:rPr>
      </w:pPr>
      <w:r>
        <w:rPr>
          <w:rFonts w:eastAsia="" w:cs="Times New Roman" w:eastAsiaTheme="minorEastAsia"/>
          <w:color w:val="auto"/>
          <w:kern w:val="0"/>
          <w:lang w:val="ru-RU" w:eastAsia="ru-RU" w:bidi="ar-SA"/>
        </w:rPr>
        <w:t>В целях обеспечения единых условий для всех участников ГВЭ при проведении и обработке результатов ГВЭ используются унифицированные бланки ГВЭ.</w:t>
      </w:r>
    </w:p>
    <w:p>
      <w:pPr>
        <w:pStyle w:val="BodyText"/>
        <w:widowControl w:val="false"/>
        <w:suppressAutoHyphens w:val="true"/>
        <w:bidi w:val="0"/>
        <w:spacing w:lineRule="auto" w:line="240" w:before="0" w:after="0"/>
        <w:ind w:firstLine="709"/>
        <w:jc w:val="both"/>
        <w:rPr>
          <w:rFonts w:ascii="Times New Roman" w:hAnsi="Times New Roman" w:eastAsia="" w:cs="Times New Roman" w:eastAsiaTheme="minorEastAsia"/>
          <w:color w:val="auto"/>
          <w:kern w:val="0"/>
          <w:lang w:val="ru-RU" w:eastAsia="ru-RU" w:bidi="ar-SA"/>
        </w:rPr>
      </w:pPr>
      <w:r>
        <w:rPr>
          <w:rFonts w:eastAsia="" w:cs="Times New Roman" w:eastAsiaTheme="minorEastAsia"/>
          <w:color w:val="auto"/>
          <w:kern w:val="0"/>
          <w:lang w:val="ru-RU" w:eastAsia="ru-RU" w:bidi="ar-SA"/>
        </w:rPr>
        <w:t>Комплект бланков ГВЭ включает в себя бланк регистрации и бланк ответов. В случае нехватки места для записи ответов на бланках ответов используются дополнительные бланки ответов.</w:t>
      </w:r>
    </w:p>
    <w:p>
      <w:pPr>
        <w:pStyle w:val="BodyText"/>
        <w:widowControl w:val="false"/>
        <w:suppressAutoHyphens w:val="true"/>
        <w:bidi w:val="0"/>
        <w:spacing w:lineRule="auto" w:line="240" w:before="0" w:after="0"/>
        <w:ind w:firstLine="709"/>
        <w:jc w:val="both"/>
        <w:rPr>
          <w:rFonts w:ascii="Times New Roman" w:hAnsi="Times New Roman" w:eastAsia="" w:cs="Times New Roman" w:eastAsiaTheme="minorEastAsia"/>
          <w:color w:val="auto"/>
          <w:kern w:val="0"/>
          <w:lang w:val="ru-RU" w:eastAsia="ru-RU" w:bidi="ar-SA"/>
        </w:rPr>
      </w:pPr>
      <w:r>
        <w:rPr>
          <w:rFonts w:eastAsia="" w:cs="Times New Roman" w:eastAsiaTheme="minorEastAsia"/>
          <w:color w:val="auto"/>
          <w:kern w:val="0"/>
          <w:lang w:val="ru-RU" w:eastAsia="ru-RU" w:bidi="ar-SA"/>
        </w:rPr>
        <w:t>При заполнении бланков ГВЭ необходимо точно соблюдать настоящие правила, поскольку  информация,  внесенная  в  бланки,  сканируется  и  обрабатывается с использованием специальных аппаратно-программных средств.</w:t>
      </w:r>
    </w:p>
    <w:p>
      <w:pPr>
        <w:pStyle w:val="BodyText"/>
        <w:ind w:firstLine="709"/>
        <w:rPr/>
      </w:pPr>
      <w:r>
        <w:rPr/>
      </w:r>
    </w:p>
    <w:p>
      <w:pPr>
        <w:pStyle w:val="Heading1"/>
        <w:numPr>
          <w:ilvl w:val="1"/>
          <w:numId w:val="6"/>
        </w:numPr>
        <w:tabs>
          <w:tab w:val="clear" w:pos="709"/>
          <w:tab w:val="left" w:pos="0" w:leader="none"/>
        </w:tabs>
        <w:ind w:firstLine="709" w:left="0"/>
        <w:jc w:val="center"/>
        <w:rPr/>
      </w:pPr>
      <w:bookmarkStart w:id="4" w:name="_bookmark16"/>
      <w:bookmarkEnd w:id="4"/>
      <w:r>
        <w:rPr/>
        <w:t>Описание бланков</w:t>
      </w:r>
      <w:r>
        <w:rPr>
          <w:spacing w:val="-5"/>
        </w:rPr>
        <w:t xml:space="preserve"> </w:t>
      </w:r>
      <w:r>
        <w:rPr/>
        <w:t>ГВЭ</w:t>
      </w:r>
    </w:p>
    <w:p>
      <w:pPr>
        <w:pStyle w:val="BodyText"/>
        <w:tabs>
          <w:tab w:val="clear" w:pos="709"/>
          <w:tab w:val="left" w:pos="0" w:leader="none"/>
        </w:tabs>
        <w:ind w:firstLine="709"/>
        <w:rPr>
          <w:b/>
        </w:rPr>
      </w:pPr>
      <w:r>
        <w:rPr>
          <w:b/>
        </w:rPr>
      </w:r>
    </w:p>
    <w:p>
      <w:pPr>
        <w:pStyle w:val="Heading1"/>
        <w:numPr>
          <w:ilvl w:val="2"/>
          <w:numId w:val="6"/>
        </w:numPr>
        <w:ind w:firstLine="709" w:left="0"/>
        <w:jc w:val="center"/>
        <w:rPr/>
      </w:pPr>
      <w:bookmarkStart w:id="5" w:name="_bookmark17"/>
      <w:bookmarkEnd w:id="5"/>
      <w:r>
        <w:rPr/>
        <w:t>Бланк</w:t>
      </w:r>
      <w:r>
        <w:rPr>
          <w:spacing w:val="-2"/>
        </w:rPr>
        <w:t xml:space="preserve"> </w:t>
      </w:r>
      <w:r>
        <w:rPr/>
        <w:t>регистрации</w:t>
      </w:r>
    </w:p>
    <w:p>
      <w:pPr>
        <w:pStyle w:val="BodyText"/>
        <w:ind w:firstLine="709"/>
        <w:jc w:val="both"/>
        <w:rPr/>
      </w:pPr>
      <w:r>
        <w:rPr/>
        <w:t>Бланк является односторонней машиночитаемой формой и состоит из трех частей – верхней, средней и нижней. На бланке регистрации расположены реперные метки.</w:t>
      </w:r>
    </w:p>
    <w:p>
      <w:pPr>
        <w:pStyle w:val="BodyText"/>
        <w:ind w:firstLine="709"/>
        <w:jc w:val="both"/>
        <w:rPr/>
      </w:pPr>
      <w:r>
        <w:rPr/>
        <w:t>В верхней части бланка регистрации расположена надпись «Государственный выпускной экзамен – 2026» и название бланка «Бланк регистрации».</w:t>
      </w:r>
    </w:p>
    <w:p>
      <w:pPr>
        <w:pStyle w:val="BodyText"/>
        <w:ind w:firstLine="709"/>
        <w:jc w:val="both"/>
        <w:rPr/>
      </w:pPr>
      <w:r>
        <w:rPr/>
        <w:t>Здесь же расположены: вертикальный штрихкод, горизонтальный штрихкод и его цифровое значение.</w:t>
      </w:r>
    </w:p>
    <w:p>
      <w:pPr>
        <w:pStyle w:val="BodyText"/>
        <w:ind w:firstLine="709"/>
        <w:jc w:val="both"/>
        <w:rPr/>
      </w:pPr>
      <w:r>
        <w:rPr/>
        <w:t>В этой же части бланка регистрации даны образцы написания букв, цифр и символов, используемых для заполнения участником ГВЭ полей бланка регистрации: код региона, код образовательной организации, номер и буква класса, код ППЭ, номер аудитории, дата проведения ГВЭ, код предмета, название предмета, номер варианта, код работы.</w:t>
      </w:r>
    </w:p>
    <w:p>
      <w:pPr>
        <w:pStyle w:val="BodyText"/>
        <w:ind w:firstLine="709"/>
        <w:jc w:val="both"/>
        <w:rPr/>
      </w:pPr>
      <w:r>
        <w:rPr/>
        <w:t>В средней части бланка регистрации расположены поля для внесения следующих сведений об участнике ГВЭ:</w:t>
      </w:r>
    </w:p>
    <w:p>
      <w:pPr>
        <w:pStyle w:val="BodyText"/>
        <w:ind w:firstLine="709"/>
        <w:rPr/>
      </w:pPr>
      <w:r>
        <w:rPr/>
        <w:t>фамилия, имя, отчество (последнее – при наличии);</w:t>
      </w:r>
    </w:p>
    <w:p>
      <w:pPr>
        <w:pStyle w:val="BodyText"/>
        <w:ind w:firstLine="709"/>
        <w:rPr/>
      </w:pPr>
      <w:r>
        <w:rPr/>
        <w:t>серия и номер документа, удостоверяющего личность.</w:t>
      </w:r>
    </w:p>
    <w:p>
      <w:pPr>
        <w:pStyle w:val="BodyText"/>
        <w:ind w:firstLine="709"/>
        <w:rPr/>
      </w:pPr>
      <w:r>
        <w:rPr/>
        <w:t>В средней части бланка регистрации также расположены:</w:t>
      </w:r>
    </w:p>
    <w:p>
      <w:pPr>
        <w:pStyle w:val="BodyText"/>
        <w:ind w:firstLine="709"/>
        <w:rPr/>
      </w:pPr>
      <w:r>
        <w:rPr/>
        <w:t>краткая инструкция по работе с бланками ГВЭ;</w:t>
      </w:r>
    </w:p>
    <w:p>
      <w:pPr>
        <w:pStyle w:val="BodyText"/>
        <w:ind w:firstLine="709"/>
        <w:jc w:val="both"/>
        <w:rPr/>
      </w:pPr>
      <w:r>
        <w:rPr/>
        <w:t>поле для подписи участника экзамена об ознакомлении с Порядком.</w:t>
      </w:r>
    </w:p>
    <w:p>
      <w:pPr>
        <w:pStyle w:val="BodyText"/>
        <w:ind w:firstLine="709"/>
        <w:jc w:val="both"/>
        <w:rPr/>
      </w:pPr>
      <w:r>
        <w:rPr/>
        <w:t>В нижней части бланка регистрации расположены поля для служебного использования (поля «Резерв-1» «Резерв-2» «Резерв-3»), поля, заполняемые ответственным организатором в аудитории ППЭ в случаях, если участник ГВЭ удален из ППЭ в связи с нарушением Порядка или не завершил экзамен по объективным причинам, а также поле для подписи ответственного организатора в аудитории</w:t>
      </w:r>
      <w:r>
        <w:rPr>
          <w:spacing w:val="-8"/>
        </w:rPr>
        <w:t xml:space="preserve"> </w:t>
      </w:r>
      <w:r>
        <w:rPr/>
        <w:t>ППЭ</w:t>
      </w:r>
    </w:p>
    <w:p>
      <w:pPr>
        <w:pStyle w:val="BodyText"/>
        <w:ind w:firstLine="709"/>
        <w:jc w:val="both"/>
        <w:rPr/>
      </w:pPr>
      <w:r>
        <w:rPr/>
      </w:r>
    </w:p>
    <w:p>
      <w:pPr>
        <w:pStyle w:val="Heading1"/>
        <w:numPr>
          <w:ilvl w:val="2"/>
          <w:numId w:val="6"/>
        </w:numPr>
        <w:ind w:firstLine="709" w:left="0"/>
        <w:jc w:val="center"/>
        <w:rPr/>
      </w:pPr>
      <w:r>
        <w:rPr/>
        <w:t>Бланк ответов</w:t>
      </w:r>
    </w:p>
    <w:p>
      <w:pPr>
        <w:pStyle w:val="BodyText"/>
        <w:ind w:firstLine="709"/>
        <w:jc w:val="both"/>
        <w:rPr/>
      </w:pPr>
      <w:r>
        <w:rPr/>
        <w:t>Бланк ответов является односторонней машиночитаемой формой и состоит из двух частей – верхней и нижней. На бланке ответов расположены реперные метки.</w:t>
      </w:r>
    </w:p>
    <w:p>
      <w:pPr>
        <w:pStyle w:val="BodyText"/>
        <w:ind w:firstLine="709"/>
        <w:jc w:val="both"/>
        <w:rPr/>
      </w:pPr>
      <w:r>
        <w:rPr/>
        <w:t>В верхней части лицевой стороны бланка ответов расположена надпись «Государственный выпускной экзамен – 2026» и название бланка «Бланк ответов».</w:t>
      </w:r>
    </w:p>
    <w:p>
      <w:pPr>
        <w:pStyle w:val="BodyText"/>
        <w:ind w:firstLine="709"/>
        <w:jc w:val="both"/>
        <w:rPr/>
      </w:pPr>
      <w:r>
        <w:rPr/>
        <w:t>Здесь же расположены: вертикальный штрихкод, горизонтальный штрихкод и его цифровое значение.</w:t>
      </w:r>
    </w:p>
    <w:p>
      <w:pPr>
        <w:pStyle w:val="BodyText"/>
        <w:ind w:firstLine="709"/>
        <w:jc w:val="both"/>
        <w:rPr/>
      </w:pPr>
      <w:r>
        <w:rPr/>
        <w:t>В этой части бланка ответов находятся поля для внесения информации: код региона, код предмета, название предмета, поле для нумерации листов бланков ответов, номер варианта, поле для служебного использования «Резерв-4», код работы.</w:t>
      </w:r>
    </w:p>
    <w:p>
      <w:pPr>
        <w:pStyle w:val="BodyText"/>
        <w:ind w:firstLine="709"/>
        <w:jc w:val="both"/>
        <w:rPr/>
      </w:pPr>
      <w:r>
        <w:rPr/>
        <w:t>Поле для записи ответов на задания КИМ для проведения ГВЭ располагается в нижней части бланка ответов и разлиновано пунктирными линиями «в</w:t>
      </w:r>
      <w:r>
        <w:rPr>
          <w:spacing w:val="-18"/>
        </w:rPr>
        <w:t xml:space="preserve"> </w:t>
      </w:r>
      <w:r>
        <w:rPr/>
        <w:t>клеточку».</w:t>
      </w:r>
    </w:p>
    <w:p>
      <w:pPr>
        <w:pStyle w:val="BodyText"/>
        <w:ind w:firstLine="709"/>
        <w:jc w:val="both"/>
        <w:rPr/>
      </w:pPr>
      <w:r>
        <w:rPr/>
        <w:t>В нижней части бланка ответов содержится указание для участников ГВЭ «При недостатке места для записи попросите дополнительный бланк ответов».</w:t>
      </w:r>
    </w:p>
    <w:p>
      <w:pPr>
        <w:pStyle w:val="BodyText"/>
        <w:ind w:firstLine="709"/>
        <w:jc w:val="both"/>
        <w:rPr/>
      </w:pPr>
      <w:r>
        <w:rPr>
          <w:b/>
        </w:rPr>
        <w:t>Оборотная сторона бланка ответов не заполняется.</w:t>
      </w:r>
    </w:p>
    <w:p>
      <w:pPr>
        <w:pStyle w:val="BodyText"/>
        <w:overflowPunct w:val="false"/>
        <w:ind w:firstLine="709"/>
        <w:jc w:val="both"/>
        <w:rPr/>
      </w:pPr>
      <w:r>
        <w:rPr/>
      </w:r>
    </w:p>
    <w:p>
      <w:pPr>
        <w:pStyle w:val="BodyText"/>
        <w:ind w:firstLine="709"/>
        <w:jc w:val="both"/>
        <w:rPr/>
      </w:pPr>
      <w:r>
        <w:rPr/>
      </w:r>
    </w:p>
    <w:p>
      <w:pPr>
        <w:pStyle w:val="Heading1"/>
        <w:numPr>
          <w:ilvl w:val="2"/>
          <w:numId w:val="6"/>
        </w:numPr>
        <w:ind w:firstLine="709" w:left="0"/>
        <w:jc w:val="center"/>
        <w:rPr/>
      </w:pPr>
      <w:r>
        <w:rPr/>
        <w:t>Дополнительный бланк ответов</w:t>
      </w:r>
    </w:p>
    <w:p>
      <w:pPr>
        <w:pStyle w:val="BodyText"/>
        <w:ind w:firstLine="709"/>
        <w:jc w:val="both"/>
        <w:rPr/>
      </w:pPr>
      <w:r>
        <w:rPr/>
        <w:t>Бланк является односторонней машиночитаемой формой и состоит из двух частей – верхней и нижней.</w:t>
      </w:r>
    </w:p>
    <w:p>
      <w:pPr>
        <w:pStyle w:val="BodyText"/>
        <w:ind w:firstLine="709"/>
        <w:jc w:val="both"/>
        <w:rPr/>
      </w:pPr>
      <w:r>
        <w:rPr/>
        <w:t>В верхней части дополнительного бланка ответов расположена надпись</w:t>
      </w:r>
    </w:p>
    <w:p>
      <w:pPr>
        <w:pStyle w:val="BodyText"/>
        <w:ind w:firstLine="709"/>
        <w:jc w:val="both"/>
        <w:rPr/>
      </w:pPr>
      <w:r>
        <w:rPr/>
        <w:t>«Государственный выпускной экзамен – 2026» и название «Дополнительный бланк ответов».</w:t>
      </w:r>
    </w:p>
    <w:p>
      <w:pPr>
        <w:pStyle w:val="BodyText"/>
        <w:ind w:firstLine="709"/>
        <w:jc w:val="both"/>
        <w:rPr/>
      </w:pPr>
      <w:r>
        <w:rPr/>
        <w:t>Здесь же расположены: вертикальный штрихкод, горизонтальный штрихкод и его цифровое значение.</w:t>
      </w:r>
    </w:p>
    <w:p>
      <w:pPr>
        <w:pStyle w:val="BodyText"/>
        <w:ind w:firstLine="709"/>
        <w:jc w:val="both"/>
        <w:rPr/>
      </w:pPr>
      <w:r>
        <w:rPr/>
        <w:t>В этой части дополнительного бланка ответов находятся поля для внесения информации: код региона, код предмета, название предмета, поле для нумерации листов дополнительного бланка ответов, номер варианта, код работы, поле для служебного использования «Резерв-5».</w:t>
      </w:r>
    </w:p>
    <w:p>
      <w:pPr>
        <w:pStyle w:val="BodyText"/>
        <w:ind w:firstLine="709"/>
        <w:jc w:val="both"/>
        <w:rPr/>
      </w:pPr>
      <w:r>
        <w:rPr/>
        <w:t>В дополнительном бланке ответов указано «Данный бланк использовать только после заполнения основного бланка ответов».</w:t>
      </w:r>
    </w:p>
    <w:p>
      <w:pPr>
        <w:pStyle w:val="BodyText"/>
        <w:ind w:firstLine="709"/>
        <w:jc w:val="both"/>
        <w:rPr/>
      </w:pPr>
      <w:r>
        <w:rPr/>
        <w:t>Поле для записи ответов на задания КИМ для проведения ГВЭ располагается в</w:t>
      </w:r>
      <w:r>
        <w:rPr>
          <w:spacing w:val="48"/>
        </w:rPr>
        <w:t xml:space="preserve"> </w:t>
      </w:r>
      <w:r>
        <w:rPr/>
        <w:t>нижней</w:t>
      </w:r>
      <w:r>
        <w:rPr>
          <w:spacing w:val="50"/>
        </w:rPr>
        <w:t xml:space="preserve"> </w:t>
      </w:r>
      <w:r>
        <w:rPr/>
        <w:t>части</w:t>
      </w:r>
      <w:r>
        <w:rPr>
          <w:spacing w:val="48"/>
        </w:rPr>
        <w:t xml:space="preserve"> </w:t>
      </w:r>
      <w:r>
        <w:rPr/>
        <w:t>дополнительного</w:t>
      </w:r>
      <w:r>
        <w:rPr>
          <w:spacing w:val="48"/>
        </w:rPr>
        <w:t xml:space="preserve"> </w:t>
      </w:r>
      <w:r>
        <w:rPr/>
        <w:t>бланка</w:t>
      </w:r>
      <w:r>
        <w:rPr>
          <w:spacing w:val="51"/>
        </w:rPr>
        <w:t xml:space="preserve"> </w:t>
      </w:r>
      <w:r>
        <w:rPr/>
        <w:t>ответов</w:t>
      </w:r>
      <w:r>
        <w:rPr>
          <w:spacing w:val="47"/>
        </w:rPr>
        <w:t xml:space="preserve"> </w:t>
      </w:r>
      <w:r>
        <w:rPr/>
        <w:t>и</w:t>
      </w:r>
      <w:r>
        <w:rPr>
          <w:spacing w:val="49"/>
        </w:rPr>
        <w:t xml:space="preserve"> </w:t>
      </w:r>
      <w:r>
        <w:rPr/>
        <w:t>разлиновано</w:t>
      </w:r>
      <w:r>
        <w:rPr>
          <w:spacing w:val="50"/>
        </w:rPr>
        <w:t xml:space="preserve"> </w:t>
      </w:r>
      <w:r>
        <w:rPr/>
        <w:t>пунктирными</w:t>
      </w:r>
      <w:r>
        <w:rPr>
          <w:spacing w:val="48"/>
        </w:rPr>
        <w:t xml:space="preserve"> </w:t>
      </w:r>
      <w:r>
        <w:rPr/>
        <w:t>линиями «в клеточку». В нижней части дополнительного бланка ответов содержится указание «При недостатке места для записи попросите дополнительный бланк ответов».</w:t>
      </w:r>
    </w:p>
    <w:p>
      <w:pPr>
        <w:pStyle w:val="Normal"/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Оборотная сторона одностороннего дополнительного бланка ответов не заполняется.</w:t>
      </w:r>
    </w:p>
    <w:p>
      <w:pPr>
        <w:pStyle w:val="BodyText"/>
        <w:overflowPunct w:val="false"/>
        <w:ind w:firstLine="709"/>
        <w:jc w:val="both"/>
        <w:rPr/>
      </w:pPr>
      <w:r>
        <w:rPr/>
      </w:r>
    </w:p>
    <w:p>
      <w:pPr>
        <w:pStyle w:val="Heading1"/>
        <w:numPr>
          <w:ilvl w:val="1"/>
          <w:numId w:val="8"/>
        </w:numPr>
        <w:ind w:firstLine="709" w:left="0"/>
        <w:jc w:val="center"/>
        <w:rPr/>
      </w:pPr>
      <w:r>
        <w:rPr/>
        <w:t>Правила заполнения бланков</w:t>
      </w:r>
      <w:r>
        <w:rPr>
          <w:spacing w:val="-3"/>
        </w:rPr>
        <w:t xml:space="preserve"> </w:t>
      </w:r>
      <w:r>
        <w:rPr/>
        <w:t>ГВЭ</w:t>
      </w:r>
    </w:p>
    <w:p>
      <w:pPr>
        <w:pStyle w:val="BodyText"/>
        <w:ind w:firstLine="709"/>
        <w:jc w:val="center"/>
        <w:rPr>
          <w:b/>
        </w:rPr>
      </w:pPr>
      <w:r>
        <w:rPr>
          <w:b/>
        </w:rPr>
      </w:r>
    </w:p>
    <w:p>
      <w:pPr>
        <w:pStyle w:val="Heading1"/>
        <w:numPr>
          <w:ilvl w:val="2"/>
          <w:numId w:val="8"/>
        </w:numPr>
        <w:ind w:firstLine="709" w:left="0"/>
        <w:jc w:val="center"/>
        <w:rPr/>
      </w:pPr>
      <w:r>
        <w:rPr/>
        <w:t>Общая</w:t>
      </w:r>
      <w:r>
        <w:rPr>
          <w:spacing w:val="-2"/>
        </w:rPr>
        <w:t xml:space="preserve"> </w:t>
      </w:r>
      <w:r>
        <w:rPr/>
        <w:t>часть</w:t>
      </w:r>
    </w:p>
    <w:p>
      <w:pPr>
        <w:pStyle w:val="BodyText"/>
        <w:ind w:firstLine="709"/>
        <w:jc w:val="both"/>
        <w:rPr/>
      </w:pPr>
      <w:r>
        <w:rPr/>
        <w:t>Участники ГВЭ выполняют экзаменационные работы на бланках ГВЭ, правила заполнения которых приведены ниже.</w:t>
      </w:r>
    </w:p>
    <w:p>
      <w:pPr>
        <w:pStyle w:val="BodyText"/>
        <w:ind w:firstLine="709"/>
        <w:jc w:val="both"/>
        <w:rPr/>
      </w:pPr>
      <w:r>
        <w:rPr/>
        <w:t>При заполнении бланков ГВЭ необходимо точно соблюдать настоящие правила, так как информация, внесенная в бланки, сканируется и обрабатывается с использованием специальных аппаратно-программных</w:t>
      </w:r>
      <w:r>
        <w:rPr>
          <w:spacing w:val="-1"/>
        </w:rPr>
        <w:t xml:space="preserve"> </w:t>
      </w:r>
      <w:r>
        <w:rPr/>
        <w:t>средств.</w:t>
      </w:r>
    </w:p>
    <w:p>
      <w:pPr>
        <w:pStyle w:val="BodyText"/>
        <w:overflowPunct w:val="false"/>
        <w:ind w:firstLine="709"/>
        <w:jc w:val="both"/>
        <w:rPr/>
      </w:pPr>
      <w:r>
        <w:rPr/>
        <w:t>В случае нехватки места для записи ответов на задания КИМ для проведения ГВЭ в бланке ответов по просьбе участника ГВЭ организатор в аудитории выдает ему дополнительный бланк ответов. При этом организатор фиксирует связь номеров бланков ГВЭ и дополнительного бланка ответов в специальном поле дополнительного бланка ответов.</w:t>
      </w:r>
    </w:p>
    <w:p>
      <w:pPr>
        <w:pStyle w:val="BodyText"/>
        <w:overflowPunct w:val="false"/>
        <w:ind w:firstLine="709"/>
        <w:jc w:val="both"/>
        <w:rPr/>
      </w:pPr>
      <w:r>
        <w:rPr/>
      </w:r>
    </w:p>
    <w:p>
      <w:pPr>
        <w:pStyle w:val="Heading1"/>
        <w:numPr>
          <w:ilvl w:val="2"/>
          <w:numId w:val="9"/>
        </w:numPr>
        <w:ind w:firstLine="709" w:left="0"/>
        <w:jc w:val="center"/>
        <w:rPr/>
      </w:pPr>
      <w:bookmarkStart w:id="6" w:name="2.2.2._Основные_правила_заполнения_бланк"/>
      <w:bookmarkStart w:id="7" w:name="_bookmark21"/>
      <w:bookmarkEnd w:id="6"/>
      <w:bookmarkEnd w:id="7"/>
      <w:r>
        <w:rPr/>
        <w:t>Основные правила заполнения бланков</w:t>
      </w:r>
      <w:r>
        <w:rPr>
          <w:spacing w:val="-4"/>
        </w:rPr>
        <w:t xml:space="preserve"> </w:t>
      </w:r>
      <w:r>
        <w:rPr/>
        <w:t>ГВЭ</w:t>
      </w:r>
    </w:p>
    <w:p>
      <w:pPr>
        <w:pStyle w:val="BodyText"/>
        <w:ind w:firstLine="709"/>
        <w:jc w:val="both"/>
        <w:rPr/>
      </w:pPr>
      <w:r>
        <w:rPr/>
        <w:t>Все бланки ГВЭ заполняются гелевой или капиллярной ручкой с чернилами черного цвета. Участник ГВЭ должен изображать каждую цифру и букву во всех заполняемых полях бланка регистрации, бланка ответов, дополнительного бланка ответов, тщательно копируя образец ее написания из строки с образцами написания символов, расположенными в верхней части бланка регистрации. Небрежное написание символов может привести к тому, что при автоматизированной обработке символ может быть распознан неправильно.</w:t>
      </w:r>
    </w:p>
    <w:p>
      <w:pPr>
        <w:pStyle w:val="BodyText"/>
        <w:ind w:firstLine="709"/>
        <w:jc w:val="both"/>
        <w:rPr/>
      </w:pPr>
      <w:r>
        <w:rPr/>
        <w:t xml:space="preserve">Каждое поле в бланках заполняется, </w:t>
      </w:r>
      <w:r>
        <w:rPr>
          <w:b/>
        </w:rPr>
        <w:t xml:space="preserve">начиная с первой позиции </w:t>
      </w:r>
      <w:r>
        <w:rPr/>
        <w:t>(в том числе и поля для занесения фамилии, имени и отчества (последнее – при наличии) участника ГВЭ, реквизитов документа, удостоверяющего его личность).</w:t>
      </w:r>
    </w:p>
    <w:p>
      <w:pPr>
        <w:pStyle w:val="BodyText"/>
        <w:ind w:firstLine="709"/>
        <w:jc w:val="both"/>
        <w:rPr/>
      </w:pPr>
      <w:r>
        <w:rPr/>
        <w:t>Если участник не имеет информации для заполнения какого-то конкретного поля, он должен оставить это поле пустым (не делать прочерков).</w:t>
      </w:r>
    </w:p>
    <w:p>
      <w:pPr>
        <w:pStyle w:val="Heading2"/>
        <w:spacing w:before="0" w:after="0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cs="Times New Roman" w:ascii="Times New Roman" w:hAnsi="Times New Roman"/>
          <w:color w:val="auto"/>
        </w:rPr>
        <w:t>При записи ответов необходимо строго следовать инструкциям по выполнению работы (к группе заданий, отдельным заданиям), указанным в КИМ ГВЭ.</w:t>
      </w:r>
    </w:p>
    <w:p>
      <w:pPr>
        <w:pStyle w:val="BodyText"/>
        <w:ind w:firstLine="709"/>
        <w:jc w:val="both"/>
        <w:rPr/>
      </w:pPr>
      <w:r>
        <w:rPr/>
        <w:t>На бланке ответов, дополнительном бланке ответов не должно быть пометок, содержащих информацию о личности участника ГВЭ.</w:t>
      </w:r>
    </w:p>
    <w:p>
      <w:pPr>
        <w:pStyle w:val="Heading2"/>
        <w:spacing w:before="0" w:after="0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cs="Times New Roman" w:ascii="Times New Roman" w:hAnsi="Times New Roman"/>
          <w:color w:val="auto"/>
        </w:rPr>
        <w:t>Категорически запрещается:</w:t>
      </w:r>
    </w:p>
    <w:p>
      <w:pPr>
        <w:pStyle w:val="BodyText"/>
        <w:ind w:firstLine="709"/>
        <w:jc w:val="both"/>
        <w:rPr/>
      </w:pPr>
      <w:r>
        <w:rPr/>
        <w:t>делать в полях бланков ГВЭ, вне полей бланков ГВЭ или в полях, заполненных типографским способом, какие-либо записи и (или) пометки, не относящиеся к содержанию полей бланков</w:t>
      </w:r>
      <w:r>
        <w:rPr>
          <w:spacing w:val="2"/>
        </w:rPr>
        <w:t xml:space="preserve"> </w:t>
      </w:r>
      <w:r>
        <w:rPr/>
        <w:t>ГВЭ;</w:t>
      </w:r>
    </w:p>
    <w:p>
      <w:pPr>
        <w:pStyle w:val="BodyText"/>
        <w:ind w:firstLine="709"/>
        <w:jc w:val="both"/>
        <w:rPr/>
      </w:pPr>
      <w:r>
        <w:rPr/>
        <w:t>использовать для заполнения бланков ГВЭ цветные ручки вместо гелевой или капиллярной ручки с чернилами черного цвета, карандаш, средства для исправления внесенной в бланки ГВЭ информации (корректирующую жидкость, «ластик» и др.).</w:t>
      </w:r>
    </w:p>
    <w:p>
      <w:pPr>
        <w:pStyle w:val="BodyText"/>
        <w:ind w:firstLine="709"/>
        <w:jc w:val="both"/>
        <w:rPr/>
      </w:pPr>
      <w:r>
        <w:rPr/>
      </w:r>
    </w:p>
    <w:p>
      <w:pPr>
        <w:pStyle w:val="BodyText"/>
        <w:ind w:firstLine="709"/>
        <w:jc w:val="both"/>
        <w:rPr/>
      </w:pPr>
      <w:r>
        <w:rPr/>
      </w:r>
    </w:p>
    <w:p>
      <w:pPr>
        <w:pStyle w:val="BodyText"/>
        <w:ind w:firstLine="709"/>
        <w:jc w:val="both"/>
        <w:rPr/>
      </w:pPr>
      <w:r>
        <w:rPr/>
      </w:r>
    </w:p>
    <w:p>
      <w:pPr>
        <w:pStyle w:val="BodyText"/>
        <w:ind w:firstLine="709"/>
        <w:jc w:val="both"/>
        <w:rPr/>
      </w:pPr>
      <w:r>
        <w:rPr/>
      </w:r>
    </w:p>
    <w:p>
      <w:pPr>
        <w:pStyle w:val="BodyText"/>
        <w:ind w:firstLine="709"/>
        <w:jc w:val="both"/>
        <w:rPr/>
      </w:pPr>
      <w:r>
        <w:rPr/>
      </w:r>
    </w:p>
    <w:p>
      <w:pPr>
        <w:pStyle w:val="BodyText"/>
        <w:ind w:firstLine="709"/>
        <w:jc w:val="both"/>
        <w:rPr/>
      </w:pPr>
      <w:r>
        <w:rPr/>
      </w:r>
    </w:p>
    <w:p>
      <w:pPr>
        <w:pStyle w:val="BodyText"/>
        <w:ind w:firstLine="709"/>
        <w:jc w:val="both"/>
        <w:rPr/>
      </w:pPr>
      <w:r>
        <w:rPr/>
      </w:r>
    </w:p>
    <w:p>
      <w:pPr>
        <w:pStyle w:val="BodyText"/>
        <w:ind w:firstLine="709"/>
        <w:jc w:val="both"/>
        <w:rPr/>
      </w:pPr>
      <w:r>
        <w:rPr/>
      </w:r>
    </w:p>
    <w:p>
      <w:pPr>
        <w:pStyle w:val="BodyText"/>
        <w:ind w:firstLine="709"/>
        <w:jc w:val="both"/>
        <w:rPr/>
      </w:pPr>
      <w:r>
        <w:rPr/>
      </w:r>
    </w:p>
    <w:p>
      <w:pPr>
        <w:pStyle w:val="BodyText"/>
        <w:ind w:firstLine="709"/>
        <w:jc w:val="both"/>
        <w:rPr/>
      </w:pPr>
      <w:r>
        <w:rPr/>
      </w:r>
    </w:p>
    <w:p>
      <w:pPr>
        <w:pStyle w:val="BodyText"/>
        <w:ind w:firstLine="709"/>
        <w:jc w:val="both"/>
        <w:rPr/>
      </w:pPr>
      <w:r>
        <w:rPr/>
      </w:r>
    </w:p>
    <w:p>
      <w:pPr>
        <w:pStyle w:val="BodyText"/>
        <w:ind w:firstLine="709"/>
        <w:jc w:val="both"/>
        <w:rPr/>
      </w:pPr>
      <w:r>
        <w:rPr/>
      </w:r>
    </w:p>
    <w:p>
      <w:pPr>
        <w:pStyle w:val="BodyText"/>
        <w:ind w:firstLine="709"/>
        <w:jc w:val="both"/>
        <w:rPr/>
      </w:pPr>
      <w:r>
        <w:rPr/>
      </w:r>
    </w:p>
    <w:p>
      <w:pPr>
        <w:pStyle w:val="BodyText"/>
        <w:ind w:firstLine="709"/>
        <w:jc w:val="both"/>
        <w:rPr/>
      </w:pPr>
      <w:r>
        <w:rPr/>
      </w:r>
    </w:p>
    <w:p>
      <w:pPr>
        <w:pStyle w:val="BodyText"/>
        <w:ind w:firstLine="709"/>
        <w:jc w:val="both"/>
        <w:rPr/>
      </w:pPr>
      <w:r>
        <w:rPr/>
      </w:r>
    </w:p>
    <w:p>
      <w:pPr>
        <w:pStyle w:val="BodyText"/>
        <w:ind w:firstLine="709"/>
        <w:jc w:val="both"/>
        <w:rPr/>
      </w:pPr>
      <w:r>
        <w:rPr/>
      </w:r>
    </w:p>
    <w:p>
      <w:pPr>
        <w:pStyle w:val="BodyText"/>
        <w:ind w:firstLine="709"/>
        <w:jc w:val="both"/>
        <w:rPr/>
      </w:pPr>
      <w:r>
        <w:rPr/>
      </w:r>
    </w:p>
    <w:p>
      <w:pPr>
        <w:pStyle w:val="Heading1"/>
        <w:numPr>
          <w:ilvl w:val="2"/>
          <w:numId w:val="10"/>
        </w:numPr>
        <w:ind w:firstLine="709" w:left="0"/>
        <w:jc w:val="center"/>
        <w:rPr/>
      </w:pPr>
      <w:r>
        <w:rPr/>
        <w:t>Заполнение бланка</w:t>
      </w:r>
      <w:r>
        <w:rPr>
          <w:spacing w:val="-2"/>
        </w:rPr>
        <w:t xml:space="preserve"> </w:t>
      </w:r>
      <w:r>
        <w:rPr/>
        <w:t>регистрации</w:t>
      </w:r>
    </w:p>
    <w:p>
      <w:pPr>
        <w:pStyle w:val="BodyText"/>
        <w:ind w:firstLine="709"/>
        <w:jc w:val="both"/>
        <w:rPr/>
      </w:pPr>
      <w:r>
        <w:rPr/>
      </w:r>
    </w:p>
    <w:p>
      <w:pPr>
        <w:pStyle w:val="BodyText"/>
        <w:ind w:firstLine="709"/>
        <w:rPr>
          <w:i/>
          <w:i/>
        </w:rPr>
      </w:pPr>
      <w:r>
        <w:rPr>
          <w:i/>
        </w:rPr>
        <w:drawing>
          <wp:anchor behindDoc="1" distT="0" distB="0" distL="0" distR="0" simplePos="0" locked="0" layoutInCell="0" allowOverlap="1" relativeHeight="17">
            <wp:simplePos x="0" y="0"/>
            <wp:positionH relativeFrom="page">
              <wp:posOffset>1417320</wp:posOffset>
            </wp:positionH>
            <wp:positionV relativeFrom="paragraph">
              <wp:posOffset>194945</wp:posOffset>
            </wp:positionV>
            <wp:extent cx="5278120" cy="7583170"/>
            <wp:effectExtent l="0" t="0" r="0" b="0"/>
            <wp:wrapTopAndBottom/>
            <wp:docPr id="25" name="Image 2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8" descr="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8120" cy="7583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BodyText"/>
        <w:ind w:firstLine="709"/>
        <w:jc w:val="both"/>
        <w:rPr/>
      </w:pPr>
      <w:r>
        <w:rPr/>
      </w:r>
    </w:p>
    <w:p>
      <w:pPr>
        <w:pStyle w:val="BodyText"/>
        <w:ind w:firstLine="709"/>
        <w:jc w:val="both"/>
        <w:rPr/>
      </w:pPr>
      <w:r>
        <w:rPr/>
      </w:r>
    </w:p>
    <w:p>
      <w:pPr>
        <w:pStyle w:val="BodyText"/>
        <w:ind w:firstLine="709"/>
        <w:jc w:val="center"/>
        <w:rPr/>
      </w:pPr>
      <w:r>
        <w:rPr>
          <w:i/>
        </w:rPr>
        <w:t>Рис. 1 Бланк регистрации</w:t>
      </w:r>
    </w:p>
    <w:p>
      <w:pPr>
        <w:pStyle w:val="BodyText"/>
        <w:ind w:firstLine="709"/>
        <w:jc w:val="both"/>
        <w:rPr/>
      </w:pPr>
      <w:r>
        <w:rPr/>
      </w:r>
    </w:p>
    <w:p>
      <w:pPr>
        <w:pStyle w:val="BodyText"/>
        <w:ind w:firstLine="709"/>
        <w:jc w:val="both"/>
        <w:rPr/>
      </w:pPr>
      <w:r>
        <w:rPr/>
      </w:r>
    </w:p>
    <w:p>
      <w:pPr>
        <w:pStyle w:val="BodyText"/>
        <w:ind w:firstLine="709"/>
        <w:jc w:val="both"/>
        <w:rPr/>
      </w:pPr>
      <w:r>
        <w:rPr/>
        <w:t>По указанию ответственного организатора в аудитории участники ГВЭ приступают к заполнению верхней части бланка регистрации (рис. 2).</w:t>
      </w:r>
    </w:p>
    <w:p>
      <w:pPr>
        <w:pStyle w:val="Normal"/>
        <w:ind w:firstLine="709"/>
        <w:jc w:val="center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 xml:space="preserve"> </w:t>
      </w:r>
    </w:p>
    <w:p>
      <w:pPr>
        <w:pStyle w:val="Normal"/>
        <w:ind w:firstLine="709"/>
        <w:rPr>
          <w:i/>
          <w:i/>
          <w:sz w:val="26"/>
          <w:szCs w:val="26"/>
        </w:rPr>
      </w:pPr>
      <w:r>
        <w:rPr>
          <w:i/>
          <w:sz w:val="26"/>
          <w:szCs w:val="26"/>
        </w:rPr>
      </w:r>
    </w:p>
    <w:p>
      <w:pPr>
        <w:pStyle w:val="Normal"/>
        <w:ind w:firstLine="709"/>
        <w:jc w:val="center"/>
        <w:rPr>
          <w:i/>
          <w:i/>
          <w:sz w:val="26"/>
          <w:szCs w:val="26"/>
        </w:rPr>
      </w:pPr>
      <w:r>
        <w:rPr>
          <w:i/>
          <w:sz w:val="26"/>
          <w:szCs w:val="26"/>
        </w:rPr>
        <w:drawing>
          <wp:anchor behindDoc="1" distT="0" distB="0" distL="0" distR="0" simplePos="0" locked="0" layoutInCell="0" allowOverlap="1" relativeHeight="18">
            <wp:simplePos x="0" y="0"/>
            <wp:positionH relativeFrom="column">
              <wp:posOffset>-10795</wp:posOffset>
            </wp:positionH>
            <wp:positionV relativeFrom="paragraph">
              <wp:posOffset>103505</wp:posOffset>
            </wp:positionV>
            <wp:extent cx="5533390" cy="1566545"/>
            <wp:effectExtent l="0" t="0" r="0" b="0"/>
            <wp:wrapTopAndBottom/>
            <wp:docPr id="26" name="Image 2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9" descr="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3390" cy="1566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ind w:firstLine="709"/>
        <w:jc w:val="center"/>
        <w:rPr/>
      </w:pPr>
      <w:r>
        <w:rPr>
          <w:i/>
          <w:sz w:val="26"/>
          <w:szCs w:val="26"/>
        </w:rPr>
        <w:t>Рис. 2. Верхняя часть бланка регистрации</w:t>
      </w:r>
    </w:p>
    <w:p>
      <w:pPr>
        <w:pStyle w:val="BodyText"/>
        <w:overflowPunct w:val="false"/>
        <w:ind w:firstLine="709"/>
        <w:rPr/>
      </w:pPr>
      <w:r>
        <w:rPr/>
      </w:r>
    </w:p>
    <w:p>
      <w:pPr>
        <w:pStyle w:val="BodyText"/>
        <w:overflowPunct w:val="false"/>
        <w:ind w:firstLine="709"/>
        <w:rPr/>
      </w:pPr>
      <w:r>
        <w:rPr/>
        <w:t>Участниками ГВЭ заполняются следующие поля верхней части бланка регистрации (см. Таблицу 1):</w:t>
      </w:r>
    </w:p>
    <w:p>
      <w:pPr>
        <w:pStyle w:val="BodyText"/>
        <w:overflowPunct w:val="false"/>
        <w:ind w:firstLine="709"/>
        <w:rPr/>
      </w:pPr>
      <w:r>
        <w:rPr/>
        <w:t>код региона;</w:t>
      </w:r>
    </w:p>
    <w:p>
      <w:pPr>
        <w:pStyle w:val="BodyText"/>
        <w:overflowPunct w:val="false"/>
        <w:ind w:firstLine="709"/>
        <w:rPr/>
      </w:pPr>
      <w:r>
        <w:rPr/>
        <w:t xml:space="preserve">код образовательной организации; </w:t>
      </w:r>
    </w:p>
    <w:p>
      <w:pPr>
        <w:pStyle w:val="BodyText"/>
        <w:overflowPunct w:val="false"/>
        <w:ind w:firstLine="709"/>
        <w:rPr/>
      </w:pPr>
      <w:r>
        <w:rPr/>
        <w:t>номер и буква класса;</w:t>
      </w:r>
    </w:p>
    <w:p>
      <w:pPr>
        <w:pStyle w:val="BodyText"/>
        <w:overflowPunct w:val="false"/>
        <w:ind w:firstLine="709"/>
        <w:rPr/>
      </w:pPr>
      <w:r>
        <w:rPr/>
        <w:t>код ППЭ;</w:t>
      </w:r>
    </w:p>
    <w:p>
      <w:pPr>
        <w:pStyle w:val="BodyText"/>
        <w:overflowPunct w:val="false"/>
        <w:ind w:firstLine="709"/>
        <w:rPr/>
      </w:pPr>
      <w:r>
        <w:rPr/>
        <w:t xml:space="preserve">номер аудитории; </w:t>
      </w:r>
    </w:p>
    <w:p>
      <w:pPr>
        <w:pStyle w:val="BodyText"/>
        <w:overflowPunct w:val="false"/>
        <w:ind w:firstLine="709"/>
        <w:rPr>
          <w:spacing w:val="-5"/>
        </w:rPr>
      </w:pPr>
      <w:r>
        <w:rPr/>
        <w:t xml:space="preserve">дата проведения </w:t>
      </w:r>
      <w:r>
        <w:rPr>
          <w:spacing w:val="-5"/>
        </w:rPr>
        <w:t xml:space="preserve">ГВЭ; </w:t>
      </w:r>
    </w:p>
    <w:p>
      <w:pPr>
        <w:pStyle w:val="BodyText"/>
        <w:overflowPunct w:val="false"/>
        <w:ind w:firstLine="709"/>
        <w:rPr/>
      </w:pPr>
      <w:r>
        <w:rPr/>
        <w:t xml:space="preserve">код предмета; </w:t>
      </w:r>
    </w:p>
    <w:p>
      <w:pPr>
        <w:pStyle w:val="BodyText"/>
        <w:overflowPunct w:val="false"/>
        <w:ind w:firstLine="709"/>
        <w:rPr/>
      </w:pPr>
      <w:r>
        <w:rPr/>
        <w:t xml:space="preserve">название предмета; </w:t>
      </w:r>
    </w:p>
    <w:p>
      <w:pPr>
        <w:pStyle w:val="BodyText"/>
        <w:overflowPunct w:val="false"/>
        <w:ind w:firstLine="709"/>
        <w:rPr/>
      </w:pPr>
      <w:r>
        <w:rPr/>
        <w:t>номер варианта.</w:t>
      </w:r>
    </w:p>
    <w:p>
      <w:pPr>
        <w:pStyle w:val="Normal"/>
        <w:ind w:firstLine="709"/>
        <w:rPr>
          <w:i/>
          <w:i/>
          <w:sz w:val="26"/>
          <w:szCs w:val="26"/>
        </w:rPr>
      </w:pPr>
      <w:r>
        <w:rPr>
          <w:sz w:val="26"/>
          <w:szCs w:val="26"/>
        </w:rPr>
        <w:t>Поле «Код работы» заполняется автоматически.</w:t>
      </w:r>
    </w:p>
    <w:p>
      <w:pPr>
        <w:pStyle w:val="BodyText"/>
        <w:ind w:firstLine="709"/>
        <w:jc w:val="both"/>
        <w:rPr/>
      </w:pPr>
      <w:r>
        <w:rPr/>
      </w:r>
    </w:p>
    <w:p>
      <w:pPr>
        <w:pStyle w:val="BodyText"/>
        <w:tabs>
          <w:tab w:val="clear" w:pos="709"/>
          <w:tab w:val="left" w:pos="0" w:leader="none"/>
        </w:tabs>
        <w:overflowPunct w:val="false"/>
        <w:ind w:firstLine="709"/>
        <w:jc w:val="right"/>
        <w:rPr>
          <w:b/>
        </w:rPr>
      </w:pPr>
      <w:r>
        <w:rPr>
          <w:b/>
        </w:rPr>
        <w:t>Таблица 1. Указание по заполнению участником ГВЭ полей верхней части бланка регистрации</w:t>
      </w:r>
    </w:p>
    <w:tbl>
      <w:tblPr>
        <w:tblW w:w="9371" w:type="dxa"/>
        <w:jc w:val="center"/>
        <w:tblInd w:w="0" w:type="dxa"/>
        <w:tblLayout w:type="fixed"/>
        <w:tblCellMar>
          <w:top w:w="0" w:type="dxa"/>
          <w:left w:w="85" w:type="dxa"/>
          <w:bottom w:w="0" w:type="dxa"/>
          <w:right w:w="85" w:type="dxa"/>
        </w:tblCellMar>
        <w:tblLook w:val="0000" w:noHBand="0" w:noVBand="0" w:firstColumn="0" w:lastRow="0" w:lastColumn="0" w:firstRow="0"/>
      </w:tblPr>
      <w:tblGrid>
        <w:gridCol w:w="2278"/>
        <w:gridCol w:w="7092"/>
      </w:tblGrid>
      <w:tr>
        <w:trPr>
          <w:trHeight w:val="1315" w:hRule="atLeast"/>
        </w:trPr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overflowPunct w:val="false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Поля, заполняемые участником ГВЭ по указанию организатора в аудитории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overflowPunct w:val="false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Указания по заполнению</w:t>
            </w:r>
          </w:p>
        </w:tc>
      </w:tr>
      <w:tr>
        <w:trPr>
          <w:trHeight w:val="1019" w:hRule="atLeast"/>
        </w:trPr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overflowPunct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Код региона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overflowPunct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Указывается код субъекта Российской Федерации в соответствии с кодировкой федерального справочника субъектов Российской Федерации</w:t>
            </w:r>
          </w:p>
        </w:tc>
      </w:tr>
      <w:tr>
        <w:trPr>
          <w:trHeight w:val="715" w:hRule="atLeast"/>
        </w:trPr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overflowPunct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Код образовательной организации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overflowPunct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Указывается код образовательной организации, в которой обучается участник ГВЭ</w:t>
            </w:r>
          </w:p>
        </w:tc>
      </w:tr>
      <w:tr>
        <w:trPr>
          <w:trHeight w:val="720" w:hRule="atLeast"/>
        </w:trPr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overflowPunct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Класс: номер, буква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overflowPunct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Указывается информация о классе, в котором обучается участник ГВЭ</w:t>
            </w:r>
          </w:p>
        </w:tc>
      </w:tr>
      <w:tr>
        <w:trPr>
          <w:trHeight w:val="715" w:hRule="atLeast"/>
        </w:trPr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overflowPunct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Код пункта проведения ГВЭ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overflowPunct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Указывается в соответствии с кодировкой ППЭ, принятой в субъекте Российской Федерации</w:t>
            </w:r>
          </w:p>
        </w:tc>
      </w:tr>
      <w:tr>
        <w:trPr>
          <w:trHeight w:val="715" w:hRule="atLeast"/>
        </w:trPr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overflowPunct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Номер аудитории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overflowPunct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Указывается номер аудитории, в которой проходит ГВЭ</w:t>
            </w:r>
          </w:p>
        </w:tc>
      </w:tr>
      <w:tr>
        <w:trPr>
          <w:trHeight w:val="715" w:hRule="atLeast"/>
        </w:trPr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overflowPunct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Дата проведения ГВЭ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overflowPunct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Указывается дата проведения ГВЭ</w:t>
            </w:r>
          </w:p>
        </w:tc>
      </w:tr>
      <w:tr>
        <w:trPr>
          <w:trHeight w:val="715" w:hRule="atLeast"/>
        </w:trPr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overflowPunct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Код предмета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overflowPunct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Указывается код предмета в соответствии с принятой кодировкой (см. Таблицу 2)</w:t>
            </w:r>
          </w:p>
        </w:tc>
      </w:tr>
      <w:tr>
        <w:trPr>
          <w:trHeight w:val="715" w:hRule="atLeast"/>
        </w:trPr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overflowPunct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Название предмета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overflowPunct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Указывается название предмета, по которому проводится ГВЭ (возможно в сокращении)</w:t>
            </w:r>
          </w:p>
        </w:tc>
      </w:tr>
      <w:tr>
        <w:trPr>
          <w:trHeight w:val="715" w:hRule="atLeast"/>
        </w:trPr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overflowPunct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Номер варианта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overflowPunct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Указывается номер варианта, указанный в КИМ ГВЭ</w:t>
            </w:r>
          </w:p>
        </w:tc>
      </w:tr>
    </w:tbl>
    <w:p>
      <w:pPr>
        <w:pStyle w:val="BodyText"/>
        <w:ind w:firstLine="709"/>
        <w:jc w:val="both"/>
        <w:rPr/>
      </w:pPr>
      <w:r>
        <w:rPr/>
      </w:r>
    </w:p>
    <w:p>
      <w:pPr>
        <w:pStyle w:val="BodyText"/>
        <w:overflowPunct w:val="false"/>
        <w:ind w:firstLine="709"/>
        <w:jc w:val="center"/>
        <w:rPr>
          <w:b/>
          <w:i/>
          <w:i/>
          <w:iCs/>
        </w:rPr>
      </w:pPr>
      <w:r>
        <w:rPr>
          <w:b/>
          <w:i/>
          <w:iCs/>
        </w:rPr>
        <w:t>Таблица 2. Названия и коды предметов</w:t>
      </w:r>
    </w:p>
    <w:tbl>
      <w:tblPr>
        <w:tblpPr w:vertAnchor="text" w:horzAnchor="margin" w:tblpXSpec="center" w:leftFromText="180" w:rightFromText="180" w:tblpY="77"/>
        <w:tblW w:w="9361" w:type="dxa"/>
        <w:jc w:val="center"/>
        <w:tblInd w:w="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000" w:noHBand="0" w:noVBand="0" w:firstColumn="0" w:lastRow="0" w:lastColumn="0" w:firstRow="0"/>
      </w:tblPr>
      <w:tblGrid>
        <w:gridCol w:w="4956"/>
        <w:gridCol w:w="4404"/>
      </w:tblGrid>
      <w:tr>
        <w:trPr>
          <w:trHeight w:val="29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overflowPunct w:val="false"/>
              <w:ind w:firstLine="709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Название предмета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overflowPunct w:val="false"/>
              <w:ind w:firstLine="709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Код предмета</w:t>
            </w:r>
          </w:p>
        </w:tc>
      </w:tr>
      <w:tr>
        <w:trPr>
          <w:trHeight w:val="30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overflowPunct w:val="false"/>
              <w:ind w:firstLine="7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Русский язык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overflowPunct w:val="false"/>
              <w:ind w:firstLine="7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</w:t>
            </w:r>
          </w:p>
        </w:tc>
      </w:tr>
      <w:tr>
        <w:trPr>
          <w:trHeight w:val="30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overflowPunct w:val="false"/>
              <w:ind w:firstLine="7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Математика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overflowPunct w:val="false"/>
              <w:ind w:firstLine="7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</w:t>
            </w:r>
          </w:p>
        </w:tc>
      </w:tr>
    </w:tbl>
    <w:p>
      <w:pPr>
        <w:pStyle w:val="Normal"/>
        <w:ind w:firstLine="70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drawing>
          <wp:anchor behindDoc="0" distT="0" distB="0" distL="114300" distR="114300" simplePos="0" locked="0" layoutInCell="0" allowOverlap="1" relativeHeight="31">
            <wp:simplePos x="0" y="0"/>
            <wp:positionH relativeFrom="column">
              <wp:posOffset>53975</wp:posOffset>
            </wp:positionH>
            <wp:positionV relativeFrom="paragraph">
              <wp:posOffset>568960</wp:posOffset>
            </wp:positionV>
            <wp:extent cx="5940425" cy="2174875"/>
            <wp:effectExtent l="0" t="0" r="0" b="0"/>
            <wp:wrapTopAndBottom/>
            <wp:docPr id="27" name="image29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29.png" descr="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17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6"/>
          <w:szCs w:val="26"/>
        </w:rPr>
        <w:t>Поля средней части бланка регистрации «Сведения об участнике» (рис.3) заполняются участником ГВЭ самостоятельно (см. Таблицу 3).</w:t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overflowPunct w:val="false"/>
        <w:ind w:firstLine="709"/>
        <w:jc w:val="center"/>
        <w:rPr/>
      </w:pPr>
      <w:r>
        <w:rPr>
          <w:i/>
        </w:rPr>
        <w:t>Рис. 3. Сведения об участнике</w:t>
      </w:r>
    </w:p>
    <w:p>
      <w:pPr>
        <w:pStyle w:val="BodyText"/>
        <w:overflowPunct w:val="false"/>
        <w:ind w:firstLine="709"/>
        <w:jc w:val="center"/>
        <w:rPr>
          <w:b/>
        </w:rPr>
      </w:pPr>
      <w:r>
        <w:rPr>
          <w:b/>
        </w:rPr>
      </w:r>
    </w:p>
    <w:p>
      <w:pPr>
        <w:pStyle w:val="BodyText"/>
        <w:overflowPunct w:val="false"/>
        <w:ind w:firstLine="709"/>
        <w:jc w:val="right"/>
        <w:rPr>
          <w:b/>
        </w:rPr>
      </w:pPr>
      <w:r>
        <w:rPr>
          <w:b/>
        </w:rPr>
        <w:t>Таблица 3. Указания по заполнению полей «Сведения об участнике»</w:t>
      </w:r>
    </w:p>
    <w:tbl>
      <w:tblPr>
        <w:tblW w:w="9356" w:type="dxa"/>
        <w:jc w:val="center"/>
        <w:tblInd w:w="0" w:type="dxa"/>
        <w:tblLayout w:type="fixed"/>
        <w:tblCellMar>
          <w:top w:w="0" w:type="dxa"/>
          <w:left w:w="85" w:type="dxa"/>
          <w:bottom w:w="0" w:type="dxa"/>
          <w:right w:w="85" w:type="dxa"/>
        </w:tblCellMar>
        <w:tblLook w:val="0000" w:noHBand="0" w:noVBand="0" w:firstColumn="0" w:lastRow="0" w:lastColumn="0" w:firstRow="0"/>
      </w:tblPr>
      <w:tblGrid>
        <w:gridCol w:w="3165"/>
        <w:gridCol w:w="6190"/>
      </w:tblGrid>
      <w:tr>
        <w:trPr>
          <w:trHeight w:val="720" w:hRule="atLeast"/>
        </w:trPr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overflowPunct w:val="false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Поля, самостоятельно заполняемые участником ГВЭ</w:t>
            </w:r>
          </w:p>
        </w:tc>
        <w:tc>
          <w:tcPr>
            <w:tcW w:w="6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overflowPunct w:val="false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Указания по заполнению</w:t>
            </w:r>
          </w:p>
        </w:tc>
      </w:tr>
      <w:tr>
        <w:trPr>
          <w:trHeight w:val="420" w:hRule="atLeast"/>
        </w:trPr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overflowPunct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</w:t>
            </w:r>
          </w:p>
        </w:tc>
        <w:tc>
          <w:tcPr>
            <w:tcW w:w="6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overflowPunct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Вносится информация из документа, удостоверяющего личность участника ГВЭ</w:t>
            </w:r>
          </w:p>
        </w:tc>
      </w:tr>
      <w:tr>
        <w:trPr>
          <w:trHeight w:val="415" w:hRule="atLeast"/>
        </w:trPr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overflowPunct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Имя</w:t>
            </w:r>
          </w:p>
        </w:tc>
        <w:tc>
          <w:tcPr>
            <w:tcW w:w="619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overflowPunct w:val="false"/>
              <w:jc w:val="center"/>
              <w:rPr/>
            </w:pPr>
            <w:r>
              <w:rPr/>
            </w:r>
          </w:p>
        </w:tc>
      </w:tr>
      <w:tr>
        <w:trPr>
          <w:trHeight w:val="420" w:hRule="atLeast"/>
        </w:trPr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overflowPunct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Отчество (при наличии)</w:t>
            </w:r>
          </w:p>
        </w:tc>
        <w:tc>
          <w:tcPr>
            <w:tcW w:w="619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overflowPunct w:val="false"/>
              <w:jc w:val="center"/>
              <w:rPr/>
            </w:pPr>
            <w:r>
              <w:rPr/>
            </w:r>
          </w:p>
        </w:tc>
      </w:tr>
      <w:tr>
        <w:trPr>
          <w:trHeight w:val="720" w:hRule="atLeast"/>
        </w:trPr>
        <w:tc>
          <w:tcPr>
            <w:tcW w:w="3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overflowPunct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Документ</w:t>
            </w:r>
          </w:p>
        </w:tc>
        <w:tc>
          <w:tcPr>
            <w:tcW w:w="6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overflowPunct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Документ, удостоверяющий личность</w:t>
            </w:r>
          </w:p>
        </w:tc>
      </w:tr>
      <w:tr>
        <w:trPr>
          <w:trHeight w:val="1015" w:hRule="atLeast"/>
        </w:trPr>
        <w:tc>
          <w:tcPr>
            <w:tcW w:w="316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overflowPunct w:val="false"/>
              <w:jc w:val="center"/>
              <w:rPr/>
            </w:pPr>
            <w:r>
              <w:rPr/>
            </w:r>
          </w:p>
        </w:tc>
        <w:tc>
          <w:tcPr>
            <w:tcW w:w="6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overflowPunct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Серия</w:t>
            </w:r>
          </w:p>
          <w:p>
            <w:pPr>
              <w:pStyle w:val="TableParagraph"/>
              <w:overflowPunct w:val="false"/>
              <w:rPr>
                <w:i/>
                <w:i/>
                <w:iCs/>
                <w:sz w:val="26"/>
                <w:szCs w:val="26"/>
              </w:rPr>
            </w:pPr>
            <w:r>
              <w:rPr>
                <w:sz w:val="26"/>
                <w:szCs w:val="26"/>
              </w:rPr>
              <w:t>В поле записываются арабские цифры серии без пробелов, н</w:t>
            </w:r>
            <w:r>
              <w:rPr>
                <w:i/>
                <w:iCs/>
                <w:sz w:val="26"/>
                <w:szCs w:val="26"/>
              </w:rPr>
              <w:t>апример: 4600</w:t>
            </w:r>
          </w:p>
        </w:tc>
      </w:tr>
      <w:tr>
        <w:trPr>
          <w:trHeight w:val="1020" w:hRule="atLeast"/>
        </w:trPr>
        <w:tc>
          <w:tcPr>
            <w:tcW w:w="316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overflowPunct w:val="false"/>
              <w:jc w:val="center"/>
              <w:rPr/>
            </w:pPr>
            <w:r>
              <w:rPr/>
            </w:r>
          </w:p>
        </w:tc>
        <w:tc>
          <w:tcPr>
            <w:tcW w:w="6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overflowPunct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Номер</w:t>
            </w:r>
          </w:p>
          <w:p>
            <w:pPr>
              <w:pStyle w:val="TableParagraph"/>
              <w:overflowPunct w:val="false"/>
              <w:rPr>
                <w:i/>
                <w:i/>
                <w:iCs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поле записываются арабские цифры номера без пробелов, </w:t>
            </w:r>
            <w:r>
              <w:rPr>
                <w:i/>
                <w:iCs/>
                <w:sz w:val="26"/>
                <w:szCs w:val="26"/>
              </w:rPr>
              <w:t>например: 918762</w:t>
            </w:r>
          </w:p>
        </w:tc>
      </w:tr>
    </w:tbl>
    <w:p>
      <w:pPr>
        <w:pStyle w:val="BodyText"/>
        <w:overflowPunct w:val="false"/>
        <w:ind w:firstLine="709"/>
        <w:rPr/>
      </w:pPr>
      <w:r>
        <w:rPr/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drawing>
          <wp:anchor behindDoc="0" distT="0" distB="0" distL="114300" distR="114300" simplePos="0" locked="0" layoutInCell="0" allowOverlap="1" relativeHeight="32">
            <wp:simplePos x="0" y="0"/>
            <wp:positionH relativeFrom="column">
              <wp:posOffset>-12065</wp:posOffset>
            </wp:positionH>
            <wp:positionV relativeFrom="paragraph">
              <wp:posOffset>544195</wp:posOffset>
            </wp:positionV>
            <wp:extent cx="5940425" cy="2866390"/>
            <wp:effectExtent l="0" t="0" r="0" b="0"/>
            <wp:wrapTopAndBottom/>
            <wp:docPr id="28" name="image30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30.png" descr="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66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6"/>
          <w:szCs w:val="26"/>
        </w:rPr>
        <w:t>В средней части бланка регистрации расположена краткая инструкция по работе с бланками ГВЭ и поле для подписи участника ГВЭ (рис. 4).</w:t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firstLine="709"/>
        <w:rPr>
          <w:sz w:val="26"/>
          <w:szCs w:val="26"/>
        </w:rPr>
      </w:pPr>
      <w:r>
        <w:rPr>
          <w:i/>
          <w:sz w:val="26"/>
          <w:szCs w:val="26"/>
        </w:rPr>
        <w:t>Рис. 4. Краткая инструкция по работе с бланками ГВЭ</w:t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После окончания заполнения бланка регистрации, ознакомления с краткой инструкцией по работе с бланками ГВЭ («При заполнении бланков: …») и выполнения всех пунктов краткой инструкции по работе с бланками ГВЭ, размещенной на бланке регистрации, участник ГВЭ ставит свою подпись в специально отведенном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поле.</w:t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Поля для служебного использования «Резерв-1», «Резерв-2», «Резерв-3» не заполняются (рис.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5).</w:t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0" distT="0" distB="0" distL="114300" distR="114300" simplePos="0" locked="0" layoutInCell="0" allowOverlap="1" relativeHeight="33">
            <wp:simplePos x="0" y="0"/>
            <wp:positionH relativeFrom="column">
              <wp:posOffset>-12065</wp:posOffset>
            </wp:positionH>
            <wp:positionV relativeFrom="paragraph">
              <wp:posOffset>69215</wp:posOffset>
            </wp:positionV>
            <wp:extent cx="5851525" cy="515620"/>
            <wp:effectExtent l="0" t="0" r="0" b="0"/>
            <wp:wrapTopAndBottom/>
            <wp:docPr id="29" name="image31.png" descr="C:\Users\olgsolov\Desktop\2020\МР 2020\2020\2 МР ГВЭ-11 автомат\Нарезка бланков 2020\5 БР-резервы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31.png" descr="C:\Users\olgsolov\Desktop\2020\МР 2020\2020\2 МР ГВЭ-11 автомат\Нарезка бланков 2020\5 БР-резервы.png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1525" cy="515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ind w:firstLine="709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Рис. 5 Поля для служебного использования</w:t>
      </w:r>
    </w:p>
    <w:p>
      <w:pPr>
        <w:pStyle w:val="Normal"/>
        <w:ind w:firstLine="709"/>
        <w:jc w:val="center"/>
        <w:rPr>
          <w:i/>
          <w:i/>
          <w:sz w:val="26"/>
          <w:szCs w:val="26"/>
        </w:rPr>
      </w:pPr>
      <w:r>
        <w:rPr>
          <w:i/>
          <w:sz w:val="26"/>
          <w:szCs w:val="26"/>
        </w:rPr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случае если участник ГВЭ удален из ППЭ в связи с нарушением Порядка или не завершил экзамен по объективным причинам, заполнение полей нижней части бланка регистрации организатором в аудитории ОБЯЗАТЕЛЬНО.</w:t>
      </w:r>
    </w:p>
    <w:p>
      <w:pPr>
        <w:pStyle w:val="BodyText"/>
        <w:ind w:firstLine="709"/>
        <w:jc w:val="both"/>
        <w:rPr/>
      </w:pPr>
      <w:r>
        <w:rPr/>
        <w:t>Организатор в аудитории ставит отметку «X» в поле «Удален из ППЭ в связи с нарушением порядка проведения ГИА» или «Не завершил экзамен по объективным причинам»</w:t>
      </w:r>
      <w:r>
        <w:rPr>
          <w:spacing w:val="17"/>
        </w:rPr>
        <w:t xml:space="preserve"> </w:t>
      </w:r>
      <w:r>
        <w:rPr/>
        <w:t>и</w:t>
      </w:r>
      <w:r>
        <w:rPr>
          <w:spacing w:val="17"/>
        </w:rPr>
        <w:t xml:space="preserve"> </w:t>
      </w:r>
      <w:r>
        <w:rPr/>
        <w:t>заверяет</w:t>
      </w:r>
      <w:r>
        <w:rPr>
          <w:spacing w:val="21"/>
        </w:rPr>
        <w:t xml:space="preserve"> </w:t>
      </w:r>
      <w:r>
        <w:rPr/>
        <w:t>указанную</w:t>
      </w:r>
      <w:r>
        <w:rPr>
          <w:spacing w:val="20"/>
        </w:rPr>
        <w:t xml:space="preserve"> </w:t>
      </w:r>
      <w:r>
        <w:rPr/>
        <w:t>отметку</w:t>
      </w:r>
      <w:r>
        <w:rPr>
          <w:spacing w:val="15"/>
        </w:rPr>
        <w:t xml:space="preserve"> </w:t>
      </w:r>
      <w:r>
        <w:rPr/>
        <w:t>своей</w:t>
      </w:r>
      <w:r>
        <w:rPr>
          <w:spacing w:val="17"/>
        </w:rPr>
        <w:t xml:space="preserve"> </w:t>
      </w:r>
      <w:r>
        <w:rPr/>
        <w:t>подписью</w:t>
      </w:r>
      <w:r>
        <w:rPr>
          <w:spacing w:val="19"/>
        </w:rPr>
        <w:t xml:space="preserve"> </w:t>
      </w:r>
      <w:r>
        <w:rPr/>
        <w:t>в</w:t>
      </w:r>
      <w:r>
        <w:rPr>
          <w:spacing w:val="17"/>
        </w:rPr>
        <w:t xml:space="preserve"> </w:t>
      </w:r>
      <w:r>
        <w:rPr/>
        <w:t>специально</w:t>
      </w:r>
      <w:r>
        <w:rPr>
          <w:spacing w:val="17"/>
        </w:rPr>
        <w:t xml:space="preserve"> </w:t>
      </w:r>
      <w:r>
        <w:rPr/>
        <w:t>отведенном</w:t>
      </w:r>
      <w:r>
        <w:rPr>
          <w:spacing w:val="19"/>
        </w:rPr>
        <w:t xml:space="preserve"> </w:t>
      </w:r>
      <w:r>
        <w:rPr/>
        <w:t>поле «Подпись ответственного организатора строго внутри окошка» (рис. 6).</w:t>
      </w:r>
    </w:p>
    <w:p>
      <w:pPr>
        <w:pStyle w:val="BodyText"/>
        <w:ind w:firstLine="709"/>
        <w:jc w:val="both"/>
        <w:rPr/>
      </w:pPr>
      <w:r>
        <w:rPr/>
        <w:drawing>
          <wp:anchor behindDoc="0" distT="0" distB="0" distL="0" distR="0" simplePos="0" locked="0" layoutInCell="0" allowOverlap="1" relativeHeight="27">
            <wp:simplePos x="0" y="0"/>
            <wp:positionH relativeFrom="page">
              <wp:posOffset>1288415</wp:posOffset>
            </wp:positionH>
            <wp:positionV relativeFrom="paragraph">
              <wp:posOffset>217805</wp:posOffset>
            </wp:positionV>
            <wp:extent cx="5662295" cy="1145540"/>
            <wp:effectExtent l="0" t="0" r="0" b="0"/>
            <wp:wrapTopAndBottom/>
            <wp:docPr id="30" name="image30.jpe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30.jpeg" descr="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2295" cy="1145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ind w:firstLine="709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Рис. 6. Поле для отметок организатора в аудитории</w:t>
      </w:r>
    </w:p>
    <w:p>
      <w:pPr>
        <w:pStyle w:val="Normal"/>
        <w:ind w:firstLine="709"/>
        <w:jc w:val="center"/>
        <w:rPr>
          <w:i/>
          <w:i/>
          <w:sz w:val="26"/>
          <w:szCs w:val="26"/>
        </w:rPr>
      </w:pPr>
      <w:r>
        <w:rPr>
          <w:i/>
          <w:sz w:val="26"/>
          <w:szCs w:val="26"/>
        </w:rPr>
      </w:r>
    </w:p>
    <w:p>
      <w:pPr>
        <w:pStyle w:val="BodyText"/>
        <w:ind w:firstLine="709"/>
        <w:jc w:val="both"/>
        <w:rPr/>
      </w:pPr>
      <w:r>
        <w:rPr/>
        <w:t>В случае обнаружения ошибочного заполнения полей бланка регистрации организаторы в аудитории дают указание участнику ГВЭ внести соответствующие исправления.</w:t>
      </w:r>
    </w:p>
    <w:p>
      <w:pPr>
        <w:pStyle w:val="BodyText"/>
        <w:ind w:firstLine="709"/>
        <w:jc w:val="both"/>
        <w:rPr>
          <w:b/>
        </w:rPr>
      </w:pPr>
      <w:r>
        <w:rPr>
          <w:b/>
        </w:rPr>
        <w:t>Исправления могут быть выполнены следующими способами:</w:t>
      </w:r>
    </w:p>
    <w:p>
      <w:pPr>
        <w:pStyle w:val="BodyText"/>
        <w:ind w:firstLine="709"/>
        <w:jc w:val="both"/>
        <w:rPr/>
      </w:pPr>
      <w:r>
        <w:rPr/>
        <w:t>запись новых символов (цифр, букв) более жирным шрифтом поверх ранее написанных символов (цифр, букв);</w:t>
      </w:r>
    </w:p>
    <w:p>
      <w:pPr>
        <w:pStyle w:val="BodyText"/>
        <w:ind w:firstLine="709"/>
        <w:jc w:val="both"/>
        <w:rPr/>
      </w:pPr>
      <w:r>
        <w:rPr/>
        <w:t>зачеркивание ранее написанных символов (цифр, букв) и заполнение свободных клеточек справа новыми символами (цифрами, буквами). Данный способ возможен только при наличии достаточного количества оставшихся свободных клеточек.</w:t>
      </w:r>
    </w:p>
    <w:p>
      <w:pPr>
        <w:pStyle w:val="BodyText"/>
        <w:ind w:firstLine="709"/>
        <w:jc w:val="both"/>
        <w:rPr/>
      </w:pPr>
      <w:r>
        <w:rPr/>
      </w:r>
    </w:p>
    <w:p>
      <w:pPr>
        <w:pStyle w:val="BodyText"/>
        <w:ind w:firstLine="709"/>
        <w:jc w:val="both"/>
        <w:rPr/>
      </w:pPr>
      <w:r>
        <w:rPr/>
      </w:r>
    </w:p>
    <w:p>
      <w:pPr>
        <w:pStyle w:val="BodyText"/>
        <w:ind w:firstLine="709"/>
        <w:jc w:val="both"/>
        <w:rPr/>
      </w:pPr>
      <w:r>
        <w:rPr/>
      </w:r>
    </w:p>
    <w:p>
      <w:pPr>
        <w:pStyle w:val="BodyText"/>
        <w:ind w:firstLine="709"/>
        <w:jc w:val="both"/>
        <w:rPr/>
      </w:pPr>
      <w:r>
        <w:rPr/>
      </w:r>
    </w:p>
    <w:p>
      <w:pPr>
        <w:pStyle w:val="BodyText"/>
        <w:ind w:firstLine="709"/>
        <w:jc w:val="both"/>
        <w:rPr/>
      </w:pPr>
      <w:r>
        <w:rPr/>
      </w:r>
    </w:p>
    <w:p>
      <w:pPr>
        <w:pStyle w:val="BodyText"/>
        <w:ind w:firstLine="709"/>
        <w:jc w:val="both"/>
        <w:rPr/>
      </w:pPr>
      <w:r>
        <w:rPr/>
      </w:r>
    </w:p>
    <w:p>
      <w:pPr>
        <w:pStyle w:val="BodyText"/>
        <w:ind w:firstLine="709"/>
        <w:jc w:val="both"/>
        <w:rPr/>
      </w:pPr>
      <w:r>
        <w:rPr/>
      </w:r>
    </w:p>
    <w:p>
      <w:pPr>
        <w:pStyle w:val="BodyText"/>
        <w:ind w:firstLine="709"/>
        <w:jc w:val="both"/>
        <w:rPr/>
      </w:pPr>
      <w:r>
        <w:rPr/>
      </w:r>
    </w:p>
    <w:p>
      <w:pPr>
        <w:pStyle w:val="BodyText"/>
        <w:ind w:firstLine="709"/>
        <w:jc w:val="both"/>
        <w:rPr/>
      </w:pPr>
      <w:r>
        <w:rPr/>
      </w:r>
    </w:p>
    <w:p>
      <w:pPr>
        <w:pStyle w:val="BodyText"/>
        <w:ind w:firstLine="709"/>
        <w:jc w:val="both"/>
        <w:rPr/>
      </w:pPr>
      <w:r>
        <w:rPr/>
      </w:r>
    </w:p>
    <w:p>
      <w:pPr>
        <w:pStyle w:val="BodyText"/>
        <w:ind w:firstLine="709"/>
        <w:jc w:val="both"/>
        <w:rPr/>
      </w:pPr>
      <w:r>
        <w:rPr/>
      </w:r>
    </w:p>
    <w:p>
      <w:pPr>
        <w:pStyle w:val="BodyText"/>
        <w:ind w:firstLine="709"/>
        <w:jc w:val="both"/>
        <w:rPr/>
      </w:pPr>
      <w:r>
        <w:rPr/>
      </w:r>
    </w:p>
    <w:p>
      <w:pPr>
        <w:pStyle w:val="BodyText"/>
        <w:ind w:firstLine="709"/>
        <w:jc w:val="both"/>
        <w:rPr/>
      </w:pPr>
      <w:r>
        <w:rPr/>
      </w:r>
    </w:p>
    <w:p>
      <w:pPr>
        <w:pStyle w:val="Heading1"/>
        <w:tabs>
          <w:tab w:val="clear" w:pos="709"/>
          <w:tab w:val="left" w:pos="1750" w:leader="none"/>
        </w:tabs>
        <w:ind w:firstLine="709" w:left="0"/>
        <w:rPr/>
      </w:pPr>
      <w:r>
        <w:rPr/>
      </w:r>
    </w:p>
    <w:p>
      <w:pPr>
        <w:pStyle w:val="Heading1"/>
        <w:tabs>
          <w:tab w:val="clear" w:pos="709"/>
          <w:tab w:val="left" w:pos="1750" w:leader="none"/>
        </w:tabs>
        <w:ind w:firstLine="709" w:left="0"/>
        <w:rPr/>
      </w:pPr>
      <w:r>
        <w:rPr/>
      </w:r>
    </w:p>
    <w:p>
      <w:pPr>
        <w:pStyle w:val="Heading1"/>
        <w:tabs>
          <w:tab w:val="clear" w:pos="709"/>
          <w:tab w:val="left" w:pos="1750" w:leader="none"/>
        </w:tabs>
        <w:ind w:firstLine="709" w:left="0"/>
        <w:rPr/>
      </w:pPr>
      <w:r>
        <w:rPr/>
      </w:r>
    </w:p>
    <w:p>
      <w:pPr>
        <w:pStyle w:val="Heading1"/>
        <w:tabs>
          <w:tab w:val="clear" w:pos="709"/>
          <w:tab w:val="left" w:pos="1750" w:leader="none"/>
        </w:tabs>
        <w:ind w:firstLine="709" w:left="0"/>
        <w:rPr/>
      </w:pPr>
      <w:r>
        <w:rPr/>
      </w:r>
    </w:p>
    <w:p>
      <w:pPr>
        <w:pStyle w:val="Heading1"/>
        <w:tabs>
          <w:tab w:val="clear" w:pos="709"/>
          <w:tab w:val="left" w:pos="1750" w:leader="none"/>
        </w:tabs>
        <w:ind w:firstLine="709" w:left="0"/>
        <w:rPr/>
      </w:pPr>
      <w:r>
        <w:rPr/>
      </w:r>
    </w:p>
    <w:p>
      <w:pPr>
        <w:pStyle w:val="Heading1"/>
        <w:tabs>
          <w:tab w:val="clear" w:pos="709"/>
          <w:tab w:val="left" w:pos="1750" w:leader="none"/>
        </w:tabs>
        <w:ind w:firstLine="709" w:left="0"/>
        <w:rPr/>
      </w:pPr>
      <w:r>
        <w:rPr/>
      </w:r>
    </w:p>
    <w:p>
      <w:pPr>
        <w:pStyle w:val="Heading1"/>
        <w:tabs>
          <w:tab w:val="clear" w:pos="709"/>
          <w:tab w:val="left" w:pos="1750" w:leader="none"/>
        </w:tabs>
        <w:ind w:firstLine="709" w:left="0"/>
        <w:rPr/>
      </w:pPr>
      <w:r>
        <w:rPr/>
      </w:r>
    </w:p>
    <w:p>
      <w:pPr>
        <w:pStyle w:val="Heading1"/>
        <w:tabs>
          <w:tab w:val="clear" w:pos="709"/>
          <w:tab w:val="left" w:pos="1750" w:leader="none"/>
        </w:tabs>
        <w:ind w:firstLine="709" w:left="0"/>
        <w:rPr/>
      </w:pPr>
      <w:r>
        <w:rPr/>
      </w:r>
    </w:p>
    <w:p>
      <w:pPr>
        <w:pStyle w:val="Heading1"/>
        <w:tabs>
          <w:tab w:val="clear" w:pos="709"/>
          <w:tab w:val="left" w:pos="1750" w:leader="none"/>
        </w:tabs>
        <w:ind w:firstLine="709" w:left="0"/>
        <w:rPr/>
      </w:pPr>
      <w:r>
        <w:rPr/>
      </w:r>
    </w:p>
    <w:p>
      <w:pPr>
        <w:pStyle w:val="Heading1"/>
        <w:tabs>
          <w:tab w:val="clear" w:pos="709"/>
          <w:tab w:val="left" w:pos="1750" w:leader="none"/>
        </w:tabs>
        <w:ind w:firstLine="709" w:left="0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tabs>
          <w:tab w:val="clear" w:pos="709"/>
          <w:tab w:val="left" w:pos="1750" w:leader="none"/>
        </w:tabs>
        <w:ind w:firstLine="709" w:left="0"/>
        <w:rPr/>
      </w:pPr>
      <w:r>
        <w:rPr/>
      </w:r>
    </w:p>
    <w:p>
      <w:pPr>
        <w:pStyle w:val="Heading1"/>
        <w:tabs>
          <w:tab w:val="clear" w:pos="709"/>
          <w:tab w:val="left" w:pos="1750" w:leader="none"/>
        </w:tabs>
        <w:ind w:firstLine="709" w:left="0"/>
        <w:jc w:val="center"/>
        <w:rPr/>
      </w:pPr>
      <w:r>
        <w:rPr/>
        <w:t>1.2.4. Заполнение бланка ответов</w:t>
      </w:r>
    </w:p>
    <w:p>
      <w:pPr>
        <w:pStyle w:val="Normal"/>
        <w:ind w:firstLine="70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firstLine="709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0" allowOverlap="1" relativeHeight="19">
            <wp:simplePos x="0" y="0"/>
            <wp:positionH relativeFrom="page">
              <wp:posOffset>1381125</wp:posOffset>
            </wp:positionH>
            <wp:positionV relativeFrom="paragraph">
              <wp:posOffset>161290</wp:posOffset>
            </wp:positionV>
            <wp:extent cx="5346065" cy="7723505"/>
            <wp:effectExtent l="0" t="0" r="0" b="0"/>
            <wp:wrapTopAndBottom/>
            <wp:docPr id="31" name="Image 3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5" descr="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065" cy="7723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BodyText"/>
        <w:ind w:firstLine="709"/>
        <w:jc w:val="both"/>
        <w:rPr>
          <w:b/>
        </w:rPr>
      </w:pPr>
      <w:r>
        <w:rPr>
          <w:b/>
        </w:rPr>
      </w:r>
    </w:p>
    <w:p>
      <w:pPr>
        <w:pStyle w:val="Normal"/>
        <w:ind w:firstLine="709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Рис. 7. Бланк ответов</w:t>
      </w:r>
    </w:p>
    <w:p>
      <w:pPr>
        <w:pStyle w:val="Normal"/>
        <w:ind w:firstLine="709"/>
        <w:jc w:val="center"/>
        <w:rPr>
          <w:i/>
          <w:i/>
          <w:sz w:val="26"/>
          <w:szCs w:val="26"/>
        </w:rPr>
      </w:pPr>
      <w:r>
        <w:rPr>
          <w:i/>
          <w:sz w:val="26"/>
          <w:szCs w:val="26"/>
        </w:rPr>
      </w:r>
    </w:p>
    <w:p>
      <w:pPr>
        <w:pStyle w:val="BodyText"/>
        <w:ind w:firstLine="709"/>
        <w:jc w:val="both"/>
        <w:rPr/>
      </w:pPr>
      <w:r>
        <w:rPr/>
        <w:t>Бланк ответов (рис. 7) предназначен для записи ответов на задания КИМ для проведения ГВЭ.</w:t>
      </w:r>
    </w:p>
    <w:p>
      <w:pPr>
        <w:pStyle w:val="BodyText"/>
        <w:ind w:firstLine="709"/>
        <w:jc w:val="both"/>
        <w:rPr/>
      </w:pPr>
      <w:r>
        <w:rPr/>
        <w:t>Информация для заполнения полей верхней части лицевой стороны бланка ответов («Код региона», «Код предмета», «Название предмета» и «Номер варианта») должна соответствовать информации, внесенной в бланк регистрации.</w:t>
      </w:r>
    </w:p>
    <w:p>
      <w:pPr>
        <w:pStyle w:val="BodyText"/>
        <w:ind w:firstLine="709"/>
        <w:jc w:val="both"/>
        <w:rPr/>
      </w:pPr>
      <w:r>
        <w:rPr/>
        <w:t>Поле «Резерв-4» не заполняется.</w:t>
      </w:r>
    </w:p>
    <w:p>
      <w:pPr>
        <w:pStyle w:val="BodyText"/>
        <w:ind w:firstLine="709"/>
        <w:jc w:val="both"/>
        <w:rPr/>
      </w:pPr>
      <w:r>
        <w:rPr/>
        <w:t>Поля «Код работы», «Лист №» заполняются автоматически.</w:t>
      </w:r>
    </w:p>
    <w:p>
      <w:pPr>
        <w:pStyle w:val="BodyText"/>
        <w:ind w:firstLine="709"/>
        <w:jc w:val="both"/>
        <w:rPr/>
      </w:pPr>
      <w:r>
        <w:rPr/>
        <w:t>В случае нехватки места для записи ответов на задания КИМ для проведения ГВЭ в бланке ответов по просьбе участника ГВЭ организатор в аудитории выдает ему дополнительный бланк ответов. При этом организатор фиксирует связь номеров бланков ГВЭ и дополнительного бланка ответов в специальном поле дополнительного бланка ответов.</w:t>
      </w:r>
    </w:p>
    <w:p>
      <w:pPr>
        <w:pStyle w:val="BodyText"/>
        <w:ind w:firstLine="709"/>
        <w:jc w:val="both"/>
        <w:rPr/>
      </w:pPr>
      <w:r>
        <w:rPr/>
        <w:t>Если бланк ответов содержит незаполненные области (за исключением регистрационных полей), то организаторы погашают их следующим образом: «Z».</w:t>
      </w:r>
    </w:p>
    <w:p>
      <w:pPr>
        <w:pStyle w:val="BodyText"/>
        <w:widowControl w:val="false"/>
        <w:suppressAutoHyphens w:val="true"/>
        <w:bidi w:val="0"/>
        <w:spacing w:lineRule="auto" w:line="240" w:before="0" w:after="0"/>
        <w:ind w:firstLine="709"/>
        <w:jc w:val="both"/>
        <w:rPr>
          <w:rFonts w:ascii="Times New Roman" w:hAnsi="Times New Roman" w:eastAsia="" w:cs="Times New Roman" w:eastAsiaTheme="minorEastAsia"/>
          <w:color w:val="auto"/>
          <w:kern w:val="0"/>
          <w:lang w:val="ru-RU" w:eastAsia="ru-RU" w:bidi="ar-SA"/>
        </w:rPr>
      </w:pPr>
      <w:r>
        <w:rPr>
          <w:rFonts w:eastAsia="" w:cs="Times New Roman" w:eastAsiaTheme="minorEastAsia"/>
          <w:color w:val="auto"/>
          <w:kern w:val="0"/>
          <w:lang w:val="ru-RU" w:eastAsia="ru-RU" w:bidi="ar-SA"/>
        </w:rPr>
        <w:t>Если экзамен ГВЭ проводится в устной форме, в поле ответа вносится информация об имени аудиофайла с записью ответа участника.</w:t>
      </w:r>
    </w:p>
    <w:p>
      <w:pPr>
        <w:pStyle w:val="BodyText"/>
        <w:ind w:firstLine="709"/>
        <w:jc w:val="both"/>
        <w:rPr/>
      </w:pPr>
      <w:r>
        <w:rPr/>
      </w:r>
    </w:p>
    <w:p>
      <w:pPr>
        <w:pStyle w:val="BodyText"/>
        <w:ind w:firstLine="709"/>
        <w:jc w:val="both"/>
        <w:rPr/>
      </w:pPr>
      <w:r>
        <w:rPr/>
      </w:r>
    </w:p>
    <w:p>
      <w:pPr>
        <w:pStyle w:val="BodyText"/>
        <w:ind w:firstLine="709"/>
        <w:jc w:val="both"/>
        <w:rPr/>
      </w:pPr>
      <w:r>
        <w:rPr/>
      </w:r>
    </w:p>
    <w:p>
      <w:pPr>
        <w:pStyle w:val="BodyText"/>
        <w:ind w:firstLine="709"/>
        <w:jc w:val="both"/>
        <w:rPr/>
      </w:pPr>
      <w:r>
        <w:rPr/>
      </w:r>
    </w:p>
    <w:p>
      <w:pPr>
        <w:pStyle w:val="BodyText"/>
        <w:ind w:firstLine="709"/>
        <w:jc w:val="both"/>
        <w:rPr/>
      </w:pPr>
      <w:r>
        <w:rPr/>
      </w:r>
    </w:p>
    <w:p>
      <w:pPr>
        <w:pStyle w:val="BodyText"/>
        <w:ind w:firstLine="709"/>
        <w:jc w:val="both"/>
        <w:rPr/>
      </w:pPr>
      <w:r>
        <w:rPr/>
      </w:r>
    </w:p>
    <w:p>
      <w:pPr>
        <w:pStyle w:val="BodyText"/>
        <w:ind w:firstLine="709"/>
        <w:jc w:val="both"/>
        <w:rPr/>
      </w:pPr>
      <w:r>
        <w:rPr/>
      </w:r>
    </w:p>
    <w:p>
      <w:pPr>
        <w:pStyle w:val="BodyText"/>
        <w:ind w:firstLine="709"/>
        <w:jc w:val="both"/>
        <w:rPr/>
      </w:pPr>
      <w:r>
        <w:rPr/>
      </w:r>
    </w:p>
    <w:p>
      <w:pPr>
        <w:pStyle w:val="BodyText"/>
        <w:ind w:firstLine="709"/>
        <w:jc w:val="both"/>
        <w:rPr/>
      </w:pPr>
      <w:r>
        <w:rPr/>
      </w:r>
    </w:p>
    <w:p>
      <w:pPr>
        <w:pStyle w:val="BodyText"/>
        <w:ind w:firstLine="709"/>
        <w:jc w:val="both"/>
        <w:rPr/>
      </w:pPr>
      <w:r>
        <w:rPr/>
      </w:r>
    </w:p>
    <w:p>
      <w:pPr>
        <w:pStyle w:val="BodyText"/>
        <w:ind w:firstLine="709"/>
        <w:jc w:val="both"/>
        <w:rPr/>
      </w:pPr>
      <w:r>
        <w:rPr/>
      </w:r>
    </w:p>
    <w:p>
      <w:pPr>
        <w:pStyle w:val="BodyText"/>
        <w:ind w:firstLine="709"/>
        <w:jc w:val="both"/>
        <w:rPr/>
      </w:pPr>
      <w:r>
        <w:rPr/>
      </w:r>
    </w:p>
    <w:p>
      <w:pPr>
        <w:pStyle w:val="BodyText"/>
        <w:ind w:firstLine="709"/>
        <w:jc w:val="both"/>
        <w:rPr/>
      </w:pPr>
      <w:r>
        <w:rPr/>
      </w:r>
    </w:p>
    <w:p>
      <w:pPr>
        <w:pStyle w:val="BodyText"/>
        <w:ind w:firstLine="709"/>
        <w:jc w:val="both"/>
        <w:rPr/>
      </w:pPr>
      <w:r>
        <w:rPr/>
      </w:r>
    </w:p>
    <w:p>
      <w:pPr>
        <w:pStyle w:val="BodyText"/>
        <w:ind w:firstLine="709"/>
        <w:jc w:val="both"/>
        <w:rPr/>
      </w:pPr>
      <w:r>
        <w:rPr/>
      </w:r>
    </w:p>
    <w:p>
      <w:pPr>
        <w:pStyle w:val="BodyText"/>
        <w:ind w:firstLine="709"/>
        <w:jc w:val="both"/>
        <w:rPr/>
      </w:pPr>
      <w:r>
        <w:rPr/>
      </w:r>
    </w:p>
    <w:p>
      <w:pPr>
        <w:pStyle w:val="BodyText"/>
        <w:ind w:firstLine="709"/>
        <w:jc w:val="both"/>
        <w:rPr/>
      </w:pPr>
      <w:r>
        <w:rPr/>
      </w:r>
    </w:p>
    <w:p>
      <w:pPr>
        <w:pStyle w:val="BodyText"/>
        <w:ind w:firstLine="709"/>
        <w:jc w:val="both"/>
        <w:rPr/>
      </w:pPr>
      <w:r>
        <w:rPr/>
      </w:r>
    </w:p>
    <w:p>
      <w:pPr>
        <w:pStyle w:val="BodyText"/>
        <w:ind w:firstLine="709"/>
        <w:jc w:val="both"/>
        <w:rPr/>
      </w:pPr>
      <w:r>
        <w:rPr/>
      </w:r>
    </w:p>
    <w:p>
      <w:pPr>
        <w:pStyle w:val="BodyText"/>
        <w:ind w:firstLine="709"/>
        <w:jc w:val="both"/>
        <w:rPr/>
      </w:pPr>
      <w:r>
        <w:rPr/>
      </w:r>
    </w:p>
    <w:p>
      <w:pPr>
        <w:pStyle w:val="BodyText"/>
        <w:ind w:firstLine="709"/>
        <w:jc w:val="both"/>
        <w:rPr/>
      </w:pPr>
      <w:r>
        <w:rPr/>
      </w:r>
    </w:p>
    <w:p>
      <w:pPr>
        <w:pStyle w:val="BodyText"/>
        <w:ind w:firstLine="709"/>
        <w:jc w:val="both"/>
        <w:rPr/>
      </w:pPr>
      <w:r>
        <w:rPr/>
      </w:r>
    </w:p>
    <w:p>
      <w:pPr>
        <w:pStyle w:val="BodyText"/>
        <w:ind w:firstLine="709"/>
        <w:jc w:val="both"/>
        <w:rPr/>
      </w:pPr>
      <w:r>
        <w:rPr/>
      </w:r>
    </w:p>
    <w:p>
      <w:pPr>
        <w:pStyle w:val="BodyText"/>
        <w:ind w:firstLine="709"/>
        <w:jc w:val="both"/>
        <w:rPr/>
      </w:pPr>
      <w:r>
        <w:rPr/>
      </w:r>
    </w:p>
    <w:p>
      <w:pPr>
        <w:pStyle w:val="BodyText"/>
        <w:ind w:firstLine="709"/>
        <w:jc w:val="both"/>
        <w:rPr/>
      </w:pPr>
      <w:r>
        <w:rPr/>
      </w:r>
    </w:p>
    <w:p>
      <w:pPr>
        <w:pStyle w:val="BodyText"/>
        <w:ind w:firstLine="709"/>
        <w:jc w:val="both"/>
        <w:rPr/>
      </w:pPr>
      <w:r>
        <w:rPr/>
      </w:r>
    </w:p>
    <w:p>
      <w:pPr>
        <w:pStyle w:val="BodyText"/>
        <w:ind w:firstLine="709"/>
        <w:jc w:val="both"/>
        <w:rPr/>
      </w:pPr>
      <w:r>
        <w:rPr/>
      </w:r>
    </w:p>
    <w:p>
      <w:pPr>
        <w:pStyle w:val="BodyText"/>
        <w:ind w:firstLine="709"/>
        <w:jc w:val="both"/>
        <w:rPr/>
      </w:pPr>
      <w:r>
        <w:rPr/>
      </w:r>
    </w:p>
    <w:p>
      <w:pPr>
        <w:pStyle w:val="BodyText"/>
        <w:ind w:firstLine="709"/>
        <w:jc w:val="both"/>
        <w:rPr/>
      </w:pPr>
      <w:r>
        <w:rPr/>
      </w:r>
    </w:p>
    <w:p>
      <w:pPr>
        <w:pStyle w:val="BodyText"/>
        <w:ind w:firstLine="709"/>
        <w:jc w:val="both"/>
        <w:rPr/>
      </w:pPr>
      <w:r>
        <w:rPr/>
      </w:r>
    </w:p>
    <w:p>
      <w:pPr>
        <w:pStyle w:val="BodyText"/>
        <w:ind w:firstLine="709"/>
        <w:jc w:val="both"/>
        <w:rPr/>
      </w:pPr>
      <w:r>
        <w:rPr/>
      </w:r>
    </w:p>
    <w:p>
      <w:pPr>
        <w:pStyle w:val="BodyText"/>
        <w:ind w:firstLine="709"/>
        <w:jc w:val="both"/>
        <w:rPr/>
      </w:pPr>
      <w:r>
        <w:rPr/>
      </w:r>
    </w:p>
    <w:p>
      <w:pPr>
        <w:pStyle w:val="Heading1"/>
        <w:tabs>
          <w:tab w:val="clear" w:pos="709"/>
          <w:tab w:val="left" w:pos="1750" w:leader="none"/>
        </w:tabs>
        <w:ind w:firstLine="709" w:left="0"/>
        <w:rPr/>
      </w:pPr>
      <w:r>
        <w:rPr/>
      </w:r>
    </w:p>
    <w:p>
      <w:pPr>
        <w:pStyle w:val="Heading1"/>
        <w:tabs>
          <w:tab w:val="clear" w:pos="709"/>
          <w:tab w:val="left" w:pos="1750" w:leader="none"/>
        </w:tabs>
        <w:ind w:firstLine="709" w:left="0"/>
        <w:jc w:val="center"/>
        <w:rPr/>
      </w:pPr>
      <w:r>
        <w:rPr/>
        <w:t>1.2.5. Заполнение дополнительного бланка</w:t>
      </w:r>
      <w:r>
        <w:rPr>
          <w:spacing w:val="-1"/>
        </w:rPr>
        <w:t xml:space="preserve"> </w:t>
      </w:r>
      <w:r>
        <w:rPr/>
        <w:t>ответов</w:t>
      </w:r>
    </w:p>
    <w:p>
      <w:pPr>
        <w:pStyle w:val="Normal"/>
        <w:ind w:firstLine="709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0" allowOverlap="1" relativeHeight="20">
            <wp:simplePos x="0" y="0"/>
            <wp:positionH relativeFrom="page">
              <wp:posOffset>1527175</wp:posOffset>
            </wp:positionH>
            <wp:positionV relativeFrom="paragraph">
              <wp:posOffset>203200</wp:posOffset>
            </wp:positionV>
            <wp:extent cx="5278755" cy="7632065"/>
            <wp:effectExtent l="0" t="0" r="0" b="0"/>
            <wp:wrapTopAndBottom/>
            <wp:docPr id="32" name="Image 3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7" descr="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8755" cy="763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BodyText"/>
        <w:ind w:firstLine="709"/>
        <w:jc w:val="both"/>
        <w:rPr/>
      </w:pPr>
      <w:r>
        <w:rPr/>
      </w:r>
    </w:p>
    <w:p>
      <w:pPr>
        <w:pStyle w:val="Normal"/>
        <w:ind w:firstLine="709"/>
        <w:rPr>
          <w:i/>
          <w:i/>
          <w:sz w:val="26"/>
          <w:szCs w:val="26"/>
        </w:rPr>
      </w:pPr>
      <w:r>
        <w:rPr>
          <w:i/>
          <w:sz w:val="26"/>
          <w:szCs w:val="26"/>
        </w:rPr>
      </w:r>
    </w:p>
    <w:p>
      <w:pPr>
        <w:pStyle w:val="Normal"/>
        <w:ind w:firstLine="709"/>
        <w:jc w:val="center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Рис. 8. Дополнительный бланк ответов</w:t>
      </w:r>
    </w:p>
    <w:p>
      <w:pPr>
        <w:pStyle w:val="Normal"/>
        <w:ind w:firstLine="709"/>
        <w:rPr>
          <w:i/>
          <w:i/>
          <w:sz w:val="26"/>
          <w:szCs w:val="26"/>
        </w:rPr>
      </w:pPr>
      <w:r>
        <w:rPr>
          <w:i/>
          <w:sz w:val="26"/>
          <w:szCs w:val="26"/>
        </w:rPr>
      </w:r>
    </w:p>
    <w:p>
      <w:pPr>
        <w:pStyle w:val="BodyText"/>
        <w:ind w:firstLine="709"/>
        <w:jc w:val="both"/>
        <w:rPr/>
      </w:pPr>
      <w:r>
        <w:rPr/>
      </w:r>
    </w:p>
    <w:p>
      <w:pPr>
        <w:pStyle w:val="BodyText"/>
        <w:ind w:firstLine="709"/>
        <w:jc w:val="both"/>
        <w:rPr/>
      </w:pPr>
      <w:r>
        <w:rPr/>
      </w:r>
    </w:p>
    <w:p>
      <w:pPr>
        <w:pStyle w:val="BodyText"/>
        <w:ind w:firstLine="709"/>
        <w:jc w:val="both"/>
        <w:rPr/>
      </w:pPr>
      <w:r>
        <w:rPr/>
        <w:t>Дополнительный бланк ответов (рис. 8) выдается организатором в аудитории по просьбе участника ГВЭ в случае нехватки места для записи ответов на задания КИМ для проведения ГВЭ в бланке ответов.</w:t>
      </w:r>
    </w:p>
    <w:p>
      <w:pPr>
        <w:pStyle w:val="BodyText"/>
        <w:ind w:firstLine="709"/>
        <w:jc w:val="both"/>
        <w:rPr/>
      </w:pPr>
      <w:r>
        <w:rPr/>
        <w:t>Информация для заполнения полей верхней части дополнительного бланка ответов («Код региона», «Код предмета», «Название предмета», «Номер варианта» и «Код работы») переносится с соответствующих полей бланка регистрации. Поле «Код работы» заполняет организатор в аудитории при выдаче дополнительного бланка</w:t>
      </w:r>
      <w:r>
        <w:rPr>
          <w:spacing w:val="-9"/>
        </w:rPr>
        <w:t xml:space="preserve"> </w:t>
      </w:r>
      <w:r>
        <w:rPr/>
        <w:t>ответов.</w:t>
      </w:r>
    </w:p>
    <w:p>
      <w:pPr>
        <w:pStyle w:val="BodyText"/>
        <w:ind w:firstLine="709"/>
        <w:jc w:val="both"/>
        <w:rPr/>
      </w:pPr>
      <w:r>
        <w:rPr/>
        <w:t>В поле «Лист №» при выдаче дополнительного бланка ответов организатор в аудитории вносит порядковый номер листа работы участника ГВЭ (при этом листом № 1 является основной бланк ответов, который участник ГВЭ получил в составе индивидуального</w:t>
      </w:r>
      <w:r>
        <w:rPr>
          <w:spacing w:val="1"/>
        </w:rPr>
        <w:t xml:space="preserve"> </w:t>
      </w:r>
      <w:r>
        <w:rPr/>
        <w:t>комплекта).</w:t>
      </w:r>
    </w:p>
    <w:p>
      <w:pPr>
        <w:pStyle w:val="BodyText"/>
        <w:ind w:firstLine="709"/>
        <w:jc w:val="both"/>
        <w:rPr/>
      </w:pPr>
      <w:r>
        <w:rPr/>
        <w:t>Поле «Резерв-5» не заполняется.</w:t>
      </w:r>
    </w:p>
    <w:p>
      <w:pPr>
        <w:pStyle w:val="BodyText"/>
        <w:ind w:firstLine="709"/>
        <w:jc w:val="both"/>
        <w:rPr/>
      </w:pPr>
      <w:r>
        <w:rPr/>
        <w:t>Ответы, внесенные в каждый следующий дополнительный бланк ответов, оцениваются только в случае полностью заполненного предыдущего дополнительного бланка ответов.</w:t>
      </w:r>
    </w:p>
    <w:p>
      <w:pPr>
        <w:pStyle w:val="BodyText"/>
        <w:ind w:firstLine="709"/>
        <w:jc w:val="both"/>
        <w:rPr/>
      </w:pPr>
      <w:r>
        <w:rPr/>
        <w:t>Если дополнительный бланк ответов содержит незаполненные области (за исключением регистрационных полей), то организаторы в аудитории погашают их следующим образом:</w:t>
      </w:r>
      <w:r>
        <w:rPr>
          <w:spacing w:val="1"/>
        </w:rPr>
        <w:t xml:space="preserve"> </w:t>
      </w:r>
      <w:r>
        <w:rPr/>
        <w:t>«Z».</w:t>
      </w:r>
    </w:p>
    <w:sectPr>
      <w:headerReference w:type="default" r:id="rId38"/>
      <w:headerReference w:type="first" r:id="rId39"/>
      <w:footnotePr>
        <w:numFmt w:val="decimal"/>
      </w:footnotePr>
      <w:type w:val="nextPage"/>
      <w:pgSz w:w="11906" w:h="16838"/>
      <w:pgMar w:left="1701" w:right="851" w:gutter="0" w:header="708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Tahoma">
    <w:charset w:val="01"/>
    <w:family w:val="swiss"/>
    <w:pitch w:val="default"/>
  </w:font>
  <w:font w:name="Times New Roman">
    <w:charset w:val="01"/>
    <w:family w:val="auto"/>
    <w:pitch w:val="default"/>
  </w:font>
  <w:font w:name="Calibri">
    <w:charset w:val="01"/>
    <w:family w:val="auto"/>
    <w:pitch w:val="default"/>
  </w:font>
  <w:font w:name="Cambria">
    <w:charset w:val="01"/>
    <w:family w:val="auto"/>
    <w:pitch w:val="default"/>
  </w:font>
  <w:font w:name="Courier New">
    <w:charset w:val="01"/>
    <w:family w:val="auto"/>
    <w:pitch w:val="default"/>
  </w:font>
  <w:font w:name="PT Astra Serif">
    <w:charset w:val="01"/>
    <w:family w:val="auto"/>
    <w:pitch w:val="default"/>
  </w:font>
  <w:font w:name="PT Astra Serif">
    <w:charset w:val="01"/>
    <w:family w:val="roman"/>
    <w:pitch w:val="default"/>
  </w:font>
  <w:font w:name="Symbol">
    <w:charset w:val="02"/>
    <w:family w:val="auto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rPr/>
      </w:pPr>
      <w:r>
        <w:rPr>
          <w:rStyle w:val="Style17"/>
        </w:rPr>
        <w:footnoteRef/>
      </w:r>
      <w:r>
        <w:rPr/>
        <w:t xml:space="preserve"> </w:t>
      </w:r>
      <w:r>
        <w:rPr/>
        <w:t>Как правило, знак «Z» свидетельствует о том, что участник экзамена завершил свою экзаменационную работу и не будет возвращаться к оформлению своих ответов на соответствующих бланках (продолжению оформления ответов). Указанный знак проставляется на последнем листе соответствующего бланка ответов. Например, участник экзамена выполнил все задания с развернутым ответом (или посильные ему задания), оформил ответы на задания с развернутым ответом на бланке ответов № 2 (лист 1) и бланке ответов № 2 (лист 2), дополнительные бланки ответов не запрашивал и, соответственно, не использовал их, таким образом, знак «Z» ставится на бланке ответов № 2 (лист 2) в области указанного бланка, оставшейся незаполненной участником экзамена. Знак «Z» в данном случае на бланке ответов № 2 (лист 1) не ставится, даже если на бланке ответов № 2 (лист 1) имеется небольшая незаполненная область.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498476688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4</w:t>
        </w:r>
        <w:r>
          <w:rPr/>
          <w:fldChar w:fldCharType="end"/>
        </w:r>
      </w:p>
    </w:sdtContent>
  </w:sdt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498476688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40</w:t>
        </w:r>
        <w:r>
          <w:rPr/>
          <w:fldChar w:fldCharType="end"/>
        </w:r>
      </w:p>
    </w:sdtContent>
  </w:sdt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>
    <w:lvl w:ilvl="0">
      <w:start w:val="1"/>
      <w:numFmt w:val="decimal"/>
      <w:lvlText w:val="%1"/>
      <w:lvlJc w:val="left"/>
      <w:pPr>
        <w:tabs>
          <w:tab w:val="num" w:pos="0"/>
        </w:tabs>
        <w:ind w:left="1756" w:hanging="65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756" w:hanging="650"/>
      </w:pPr>
      <w:rPr>
        <w:rFonts w:cs="Times New Roman"/>
      </w:rPr>
    </w:lvl>
    <w:lvl w:ilvl="2">
      <w:start w:val="2"/>
      <w:numFmt w:val="decimal"/>
      <w:lvlText w:val="%1.%2.%3."/>
      <w:lvlJc w:val="left"/>
      <w:pPr>
        <w:tabs>
          <w:tab w:val="num" w:pos="0"/>
        </w:tabs>
        <w:ind w:left="1756" w:hanging="650"/>
      </w:pPr>
      <w:rPr>
        <w:sz w:val="26"/>
        <w:b/>
        <w:szCs w:val="26"/>
        <w:bCs/>
        <w:w w:val="100"/>
        <w:rFonts w:ascii="Times New Roman" w:hAnsi="Times New Roman" w:cs="Times New Roman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491" w:hanging="650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5402" w:hanging="650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6312" w:hanging="650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7223" w:hanging="650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8133" w:hanging="650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9044" w:hanging="650"/>
      </w:pPr>
      <w:rPr>
        <w:rFonts w:ascii="Symbol" w:hAnsi="Symbol" w:cs="Symbol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652" w:hanging="260"/>
      </w:pPr>
      <w:rPr>
        <w:sz w:val="26"/>
        <w:b/>
        <w:szCs w:val="26"/>
        <w:bCs/>
        <w:w w:val="99"/>
        <w:rFonts w:ascii="Times New Roman" w:hAnsi="Times New Roman" w:eastAsia="Times New Roman" w:cs="Times New Roman"/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554" w:hanging="454"/>
      </w:pPr>
      <w:rPr>
        <w:sz w:val="26"/>
        <w:spacing w:val="-1"/>
        <w:b/>
        <w:szCs w:val="26"/>
        <w:bCs/>
        <w:w w:val="99"/>
        <w:rFonts w:ascii="Times New Roman" w:hAnsi="Times New Roman" w:eastAsia="Times New Roman" w:cs="Times New Roman"/>
        <w:lang w:val="ru-RU" w:eastAsia="en-US" w:bidi="ar-SA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684" w:hanging="584"/>
      </w:pPr>
      <w:rPr>
        <w:sz w:val="26"/>
        <w:spacing w:val="-1"/>
        <w:b/>
        <w:szCs w:val="26"/>
        <w:bCs/>
        <w:w w:val="99"/>
        <w:rFonts w:ascii="Times New Roman" w:hAnsi="Times New Roman" w:eastAsia="Times New Roman" w:cs="Times New Roman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35" w:hanging="584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991" w:hanging="584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47" w:hanging="584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303" w:hanging="584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459" w:hanging="584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614" w:hanging="584"/>
      </w:pPr>
      <w:rPr>
        <w:rFonts w:ascii="Symbol" w:hAnsi="Symbol" w:cs="Symbol" w:hint="default"/>
        <w:lang w:val="ru-RU" w:eastAsia="en-US" w:bidi="ar-SA"/>
      </w:rPr>
    </w:lvl>
  </w:abstractNum>
  <w:abstractNum w:abstractNumId="4">
    <w:lvl w:ilvl="0">
      <w:start w:val="1"/>
      <w:numFmt w:val="decimal"/>
      <w:lvlText w:val="%1"/>
      <w:lvlJc w:val="left"/>
      <w:pPr>
        <w:tabs>
          <w:tab w:val="num" w:pos="0"/>
        </w:tabs>
        <w:ind w:left="1749" w:hanging="648"/>
      </w:pPr>
      <w:rPr>
        <w:lang w:val="ru-RU" w:eastAsia="en-US" w:bidi="ar-SA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1749" w:hanging="648"/>
      </w:pPr>
      <w:rPr>
        <w:lang w:val="ru-RU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49" w:hanging="648"/>
      </w:pPr>
      <w:rPr>
        <w:sz w:val="26"/>
        <w:spacing w:val="-1"/>
        <w:b/>
        <w:szCs w:val="26"/>
        <w:bCs/>
        <w:w w:val="99"/>
        <w:rFonts w:ascii="Times New Roman" w:hAnsi="Times New Roman" w:eastAsia="Times New Roman" w:cs="Times New Roman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495" w:hanging="648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5414" w:hanging="648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6333" w:hanging="648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7251" w:hanging="648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8170" w:hanging="648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9089" w:hanging="648"/>
      </w:pPr>
      <w:rPr>
        <w:rFonts w:ascii="Symbol" w:hAnsi="Symbol" w:cs="Symbol" w:hint="default"/>
        <w:lang w:val="ru-RU" w:eastAsia="en-US" w:bidi="ar-SA"/>
      </w:rPr>
    </w:lvl>
  </w:abstractNum>
  <w:abstractNum w:abstractNumId="5">
    <w:lvl w:ilvl="0">
      <w:start w:val="1"/>
      <w:numFmt w:val="decimal"/>
      <w:lvlText w:val="%1"/>
      <w:lvlJc w:val="left"/>
      <w:pPr>
        <w:tabs>
          <w:tab w:val="num" w:pos="0"/>
        </w:tabs>
        <w:ind w:left="1749" w:hanging="648"/>
      </w:pPr>
      <w:rPr>
        <w:lang w:val="ru-RU" w:eastAsia="en-US" w:bidi="ar-SA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1749" w:hanging="648"/>
      </w:pPr>
      <w:rPr>
        <w:lang w:val="ru-RU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49" w:hanging="648"/>
      </w:pPr>
      <w:rPr>
        <w:sz w:val="26"/>
        <w:spacing w:val="-1"/>
        <w:b/>
        <w:szCs w:val="26"/>
        <w:bCs/>
        <w:w w:val="99"/>
        <w:rFonts w:ascii="Times New Roman" w:hAnsi="Times New Roman" w:eastAsia="Times New Roman" w:cs="Times New Roman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495" w:hanging="648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5414" w:hanging="648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6333" w:hanging="648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7251" w:hanging="648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8170" w:hanging="648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9089" w:hanging="648"/>
      </w:pPr>
      <w:rPr>
        <w:rFonts w:ascii="Symbol" w:hAnsi="Symbol" w:cs="Symbol" w:hint="default"/>
        <w:lang w:val="ru-RU" w:eastAsia="en-US" w:bidi="ar-SA"/>
      </w:rPr>
    </w:lvl>
  </w:abstractNum>
  <w:abstractNum w:abstractNumId="6">
    <w:lvl w:ilvl="0">
      <w:start w:val="1"/>
      <w:numFmt w:val="decimal"/>
      <w:lvlText w:val="%1"/>
      <w:lvlJc w:val="left"/>
      <w:pPr>
        <w:tabs>
          <w:tab w:val="num" w:pos="0"/>
        </w:tabs>
        <w:ind w:left="4243" w:hanging="492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243" w:hanging="492"/>
      </w:pPr>
      <w:rPr>
        <w:sz w:val="28"/>
        <w:spacing w:val="-1"/>
        <w:b/>
        <w:szCs w:val="28"/>
        <w:bCs/>
        <w:w w:val="100"/>
        <w:rFonts w:ascii="Times New Roman" w:hAnsi="Times New Roman" w:eastAsia="Times New Roman" w:cs="Times New Roman"/>
        <w:lang w:val="ru-RU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4603" w:hanging="701"/>
      </w:pPr>
      <w:rPr>
        <w:sz w:val="28"/>
        <w:spacing w:val="-3"/>
        <w:b/>
        <w:szCs w:val="28"/>
        <w:bCs/>
        <w:w w:val="100"/>
        <w:rFonts w:ascii="Times New Roman" w:hAnsi="Times New Roman" w:eastAsia="Times New Roman" w:cs="Times New Roman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5758" w:hanging="701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6496" w:hanging="701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7234" w:hanging="701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7973" w:hanging="701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8711" w:hanging="701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9449" w:hanging="701"/>
      </w:pPr>
      <w:rPr>
        <w:rFonts w:ascii="Symbol" w:hAnsi="Symbol" w:cs="Symbol" w:hint="default"/>
        <w:lang w:val="ru-RU" w:eastAsia="en-US" w:bidi="ar-SA"/>
      </w:rPr>
    </w:lvl>
  </w:abstractNum>
  <w:abstractNum w:abstractNumId="7">
    <w:lvl w:ilvl="0">
      <w:start w:val="1"/>
      <w:numFmt w:val="decimal"/>
      <w:lvlText w:val="%1"/>
      <w:lvlJc w:val="left"/>
      <w:pPr>
        <w:tabs>
          <w:tab w:val="num" w:pos="0"/>
        </w:tabs>
        <w:ind w:left="5013" w:hanging="701"/>
      </w:pPr>
      <w:rPr>
        <w:lang w:val="ru-RU" w:eastAsia="en-US" w:bidi="ar-SA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5013" w:hanging="701"/>
      </w:pPr>
      <w:rPr>
        <w:lang w:val="ru-RU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5013" w:hanging="701"/>
      </w:pPr>
      <w:rPr>
        <w:sz w:val="28"/>
        <w:spacing w:val="-3"/>
        <w:b/>
        <w:szCs w:val="28"/>
        <w:bCs/>
        <w:w w:val="100"/>
        <w:rFonts w:ascii="Times New Roman" w:hAnsi="Times New Roman" w:eastAsia="Times New Roman" w:cs="Times New Roman"/>
        <w:lang w:val="ru-RU" w:eastAsia="en-US" w:bidi="ar-SA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4841" w:hanging="281"/>
      </w:pPr>
      <w:rPr>
        <w:sz w:val="28"/>
        <w:spacing w:val="0"/>
        <w:b/>
        <w:szCs w:val="28"/>
        <w:bCs/>
        <w:w w:val="100"/>
        <w:rFonts w:ascii="Times New Roman" w:hAnsi="Times New Roman" w:eastAsia="Times New Roman" w:cs="Times New Roman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6988" w:hanging="281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7645" w:hanging="281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8301" w:hanging="281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8957" w:hanging="281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9613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8">
    <w:lvl w:ilvl="0">
      <w:start w:val="1"/>
      <w:numFmt w:val="decimal"/>
      <w:lvlText w:val="%1"/>
      <w:lvlJc w:val="left"/>
      <w:pPr>
        <w:tabs>
          <w:tab w:val="num" w:pos="0"/>
        </w:tabs>
        <w:ind w:left="4243" w:hanging="492"/>
      </w:pPr>
      <w:rPr>
        <w:lang w:val="ru-RU" w:eastAsia="en-US" w:bidi="ar-SA"/>
      </w:rPr>
    </w:lvl>
    <w:lvl w:ilvl="1">
      <w:start w:val="1"/>
      <w:numFmt w:val="decimal"/>
      <w:lvlText w:val="%2.2."/>
      <w:lvlJc w:val="left"/>
      <w:pPr>
        <w:tabs>
          <w:tab w:val="num" w:pos="0"/>
        </w:tabs>
        <w:ind w:left="4243" w:hanging="492"/>
      </w:pPr>
      <w:rPr>
        <w:sz w:val="28"/>
        <w:spacing w:val="-1"/>
        <w:b/>
        <w:szCs w:val="28"/>
        <w:bCs/>
        <w:w w:val="100"/>
        <w:lang w:val="ru-RU" w:eastAsia="en-US" w:bidi="ar-SA"/>
      </w:rPr>
    </w:lvl>
    <w:lvl w:ilvl="2">
      <w:start w:val="1"/>
      <w:numFmt w:val="decimal"/>
      <w:lvlText w:val="%3.2.1."/>
      <w:lvlJc w:val="left"/>
      <w:pPr>
        <w:tabs>
          <w:tab w:val="num" w:pos="0"/>
        </w:tabs>
        <w:ind w:left="4603" w:hanging="701"/>
      </w:pPr>
      <w:rPr>
        <w:sz w:val="28"/>
        <w:spacing w:val="-3"/>
        <w:b/>
        <w:szCs w:val="28"/>
        <w:bCs/>
        <w:w w:val="100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5758" w:hanging="701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6496" w:hanging="701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7234" w:hanging="701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7973" w:hanging="701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8711" w:hanging="701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9449" w:hanging="701"/>
      </w:pPr>
      <w:rPr>
        <w:rFonts w:ascii="Symbol" w:hAnsi="Symbol" w:cs="Symbol" w:hint="default"/>
        <w:lang w:val="ru-RU" w:eastAsia="en-US" w:bidi="ar-SA"/>
      </w:rPr>
    </w:lvl>
  </w:abstractNum>
  <w:abstractNum w:abstractNumId="9">
    <w:lvl w:ilvl="0">
      <w:start w:val="1"/>
      <w:numFmt w:val="decimal"/>
      <w:lvlText w:val="%1"/>
      <w:lvlJc w:val="left"/>
      <w:pPr>
        <w:tabs>
          <w:tab w:val="num" w:pos="0"/>
        </w:tabs>
        <w:ind w:left="4243" w:hanging="492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243" w:hanging="492"/>
      </w:pPr>
      <w:rPr>
        <w:sz w:val="28"/>
        <w:spacing w:val="-1"/>
        <w:b/>
        <w:szCs w:val="28"/>
        <w:bCs/>
        <w:w w:val="100"/>
        <w:rFonts w:ascii="Times New Roman" w:hAnsi="Times New Roman" w:eastAsia="Times New Roman" w:cs="Times New Roman"/>
        <w:lang w:val="ru-RU" w:eastAsia="en-US" w:bidi="ar-SA"/>
      </w:rPr>
    </w:lvl>
    <w:lvl w:ilvl="2">
      <w:start w:val="1"/>
      <w:numFmt w:val="decimal"/>
      <w:lvlText w:val="%3.2.2."/>
      <w:lvlJc w:val="left"/>
      <w:pPr>
        <w:tabs>
          <w:tab w:val="num" w:pos="0"/>
        </w:tabs>
        <w:ind w:left="4603" w:hanging="701"/>
      </w:pPr>
      <w:rPr>
        <w:sz w:val="28"/>
        <w:spacing w:val="-3"/>
        <w:b/>
        <w:szCs w:val="28"/>
        <w:bCs/>
        <w:w w:val="100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5758" w:hanging="701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6496" w:hanging="701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7234" w:hanging="701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7973" w:hanging="701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8711" w:hanging="701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9449" w:hanging="701"/>
      </w:pPr>
      <w:rPr>
        <w:rFonts w:ascii="Symbol" w:hAnsi="Symbol" w:cs="Symbol" w:hint="default"/>
        <w:lang w:val="ru-RU" w:eastAsia="en-US" w:bidi="ar-SA"/>
      </w:rPr>
    </w:lvl>
  </w:abstractNum>
  <w:abstractNum w:abstractNumId="10">
    <w:lvl w:ilvl="0">
      <w:start w:val="1"/>
      <w:numFmt w:val="decimal"/>
      <w:lvlText w:val="%1"/>
      <w:lvlJc w:val="left"/>
      <w:pPr>
        <w:tabs>
          <w:tab w:val="num" w:pos="0"/>
        </w:tabs>
        <w:ind w:left="4243" w:hanging="492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243" w:hanging="492"/>
      </w:pPr>
      <w:rPr>
        <w:sz w:val="28"/>
        <w:spacing w:val="-1"/>
        <w:b/>
        <w:szCs w:val="28"/>
        <w:bCs/>
        <w:w w:val="100"/>
        <w:rFonts w:ascii="Times New Roman" w:hAnsi="Times New Roman" w:eastAsia="Times New Roman" w:cs="Times New Roman"/>
        <w:lang w:val="ru-RU" w:eastAsia="en-US" w:bidi="ar-SA"/>
      </w:rPr>
    </w:lvl>
    <w:lvl w:ilvl="2">
      <w:start w:val="1"/>
      <w:numFmt w:val="decimal"/>
      <w:lvlText w:val="%3.2.3."/>
      <w:lvlJc w:val="left"/>
      <w:pPr>
        <w:tabs>
          <w:tab w:val="num" w:pos="0"/>
        </w:tabs>
        <w:ind w:left="4603" w:hanging="701"/>
      </w:pPr>
      <w:rPr>
        <w:sz w:val="28"/>
        <w:spacing w:val="-3"/>
        <w:b/>
        <w:szCs w:val="28"/>
        <w:bCs/>
        <w:w w:val="100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5758" w:hanging="701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6496" w:hanging="701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7234" w:hanging="701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7973" w:hanging="701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8711" w:hanging="701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9449" w:hanging="701"/>
      </w:pPr>
      <w:rPr>
        <w:rFonts w:ascii="Symbol" w:hAnsi="Symbol" w:cs="Symbol" w:hint="default"/>
        <w:lang w:val="ru-RU" w:eastAsia="en-US" w:bidi="ar-SA"/>
      </w:rPr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80"/>
  <w:defaultTabStop w:val="709"/>
  <w:autoHyphenation w:val="true"/>
  <w:hyphenationZone w:val="0"/>
  <w:footnotePr>
    <w:numFmt w:val="decimal"/>
    <w:footnote w:id="0"/>
    <w:footnote w:id="1"/>
  </w:footnotePr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1" w:semiHidden="0" w:unhideWhenUsed="0" w:qFormat="1"/>
    <w:lsdException w:name="heading 1" w:uiPriority="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1" w:qFormat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1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rsid w:val="006d6b7a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1"/>
    <w:qFormat/>
    <w:rsid w:val="006d6b7a"/>
    <w:pPr>
      <w:ind w:hanging="650" w:left="1756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de7358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Основной текст Знак"/>
    <w:basedOn w:val="DefaultParagraphFont"/>
    <w:uiPriority w:val="1"/>
    <w:qFormat/>
    <w:rsid w:val="006d6b7a"/>
    <w:rPr>
      <w:rFonts w:ascii="Times New Roman" w:hAnsi="Times New Roman" w:eastAsia="" w:cs="Times New Roman" w:eastAsiaTheme="minorEastAsia"/>
      <w:sz w:val="26"/>
      <w:szCs w:val="26"/>
      <w:lang w:eastAsia="ru-RU"/>
    </w:rPr>
  </w:style>
  <w:style w:type="character" w:styleId="1" w:customStyle="1">
    <w:name w:val="Заголовок 1 Знак"/>
    <w:basedOn w:val="DefaultParagraphFont"/>
    <w:uiPriority w:val="9"/>
    <w:qFormat/>
    <w:rsid w:val="006d6b7a"/>
    <w:rPr>
      <w:rFonts w:ascii="Times New Roman" w:hAnsi="Times New Roman" w:eastAsia="" w:cs="Times New Roman" w:eastAsiaTheme="minorEastAsia"/>
      <w:b/>
      <w:bCs/>
      <w:sz w:val="26"/>
      <w:szCs w:val="26"/>
      <w:lang w:eastAsia="ru-RU"/>
    </w:rPr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18254d"/>
    <w:rPr>
      <w:rFonts w:ascii="Tahoma" w:hAnsi="Tahoma" w:eastAsia="" w:cs="Tahoma" w:eastAsiaTheme="minorEastAsia"/>
      <w:sz w:val="16"/>
      <w:szCs w:val="16"/>
      <w:lang w:eastAsia="ru-RU"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232f3b"/>
    <w:rPr>
      <w:rFonts w:ascii="Times New Roman" w:hAnsi="Times New Roman" w:eastAsia="" w:cs="Times New Roman" w:eastAsiaTheme="minorEastAsia"/>
      <w:lang w:eastAsia="ru-RU"/>
    </w:rPr>
  </w:style>
  <w:style w:type="character" w:styleId="Style15" w:customStyle="1">
    <w:name w:val="Нижний колонтитул Знак"/>
    <w:basedOn w:val="DefaultParagraphFont"/>
    <w:uiPriority w:val="99"/>
    <w:qFormat/>
    <w:rsid w:val="00232f3b"/>
    <w:rPr>
      <w:rFonts w:ascii="Times New Roman" w:hAnsi="Times New Roman" w:eastAsia="" w:cs="Times New Roman" w:eastAsiaTheme="minorEastAsia"/>
      <w:lang w:eastAsia="ru-RU"/>
    </w:rPr>
  </w:style>
  <w:style w:type="character" w:styleId="2" w:customStyle="1">
    <w:name w:val="Заголовок 2 Знак"/>
    <w:basedOn w:val="DefaultParagraphFont"/>
    <w:uiPriority w:val="9"/>
    <w:semiHidden/>
    <w:qFormat/>
    <w:rsid w:val="00de7358"/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sz w:val="26"/>
      <w:szCs w:val="26"/>
      <w:lang w:eastAsia="ru-RU"/>
    </w:rPr>
  </w:style>
  <w:style w:type="character" w:styleId="Style16" w:customStyle="1">
    <w:name w:val="Текст сноски Знак"/>
    <w:basedOn w:val="DefaultParagraphFont"/>
    <w:uiPriority w:val="99"/>
    <w:semiHidden/>
    <w:qFormat/>
    <w:rsid w:val="00b02321"/>
    <w:rPr>
      <w:rFonts w:ascii="Times New Roman" w:hAnsi="Times New Roman" w:eastAsia="" w:cs="Times New Roman" w:eastAsiaTheme="minorEastAsia"/>
      <w:sz w:val="20"/>
      <w:szCs w:val="20"/>
      <w:lang w:eastAsia="ru-RU"/>
    </w:rPr>
  </w:style>
  <w:style w:type="character" w:styleId="Style17">
    <w:name w:val="Символ сноски"/>
    <w:uiPriority w:val="99"/>
    <w:semiHidden/>
    <w:unhideWhenUsed/>
    <w:qFormat/>
    <w:rsid w:val="00b02321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Hyperlink">
    <w:name w:val="Hyperlink"/>
    <w:rPr>
      <w:color w:val="000080"/>
      <w:u w:val="single"/>
    </w:rPr>
  </w:style>
  <w:style w:type="character" w:styleId="Style18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6">
    <w:name w:val="Основной текст (6) + Не курсив"/>
    <w:qFormat/>
    <w:rPr>
      <w:rFonts w:ascii="Times New Roman" w:hAnsi="Times New Roman" w:eastAsia="Times New Roman" w:cs="Times New Roman"/>
      <w:b w:val="false"/>
      <w:bCs w:val="false"/>
      <w:i/>
      <w:iCs/>
      <w:caps w:val="false"/>
      <w:smallCaps w:val="false"/>
      <w:strike w:val="false"/>
      <w:dstrike w:val="false"/>
      <w:color w:val="000000"/>
      <w:spacing w:val="1"/>
      <w:w w:val="100"/>
      <w:sz w:val="24"/>
      <w:szCs w:val="24"/>
      <w:u w:val="none"/>
      <w:lang w:val="ru-RU"/>
    </w:rPr>
  </w:style>
  <w:style w:type="character" w:styleId="60pt">
    <w:name w:val="Основной текст (6) + Интервал 0 pt"/>
    <w:qFormat/>
    <w:rPr>
      <w:rFonts w:ascii="Times New Roman" w:hAnsi="Times New Roman" w:eastAsia="Times New Roman" w:cs="Times New Roman"/>
      <w:b w:val="false"/>
      <w:bCs w:val="false"/>
      <w:i/>
      <w:iCs/>
      <w:caps w:val="false"/>
      <w:smallCaps w:val="false"/>
      <w:strike w:val="false"/>
      <w:dstrike w:val="false"/>
      <w:color w:val="000000"/>
      <w:spacing w:val="1"/>
      <w:w w:val="100"/>
      <w:sz w:val="24"/>
      <w:szCs w:val="24"/>
      <w:u w:val="none"/>
      <w:lang w:val="ru-RU"/>
    </w:rPr>
  </w:style>
  <w:style w:type="character" w:styleId="61">
    <w:name w:val="Основной текст (6)_"/>
    <w:qFormat/>
    <w:rPr>
      <w:rFonts w:ascii="Times New Roman" w:hAnsi="Times New Roman" w:eastAsia="Times New Roman" w:cs="Times New Roman"/>
      <w:i/>
      <w:iCs/>
      <w:spacing w:val="2"/>
      <w:shd w:fill="FFFFFF" w:val="clear"/>
    </w:rPr>
  </w:style>
  <w:style w:type="character" w:styleId="21">
    <w:name w:val="Заголовок №2_"/>
    <w:qFormat/>
    <w:rPr>
      <w:rFonts w:ascii="Times New Roman" w:hAnsi="Times New Roman" w:eastAsia="Times New Roman" w:cs="Times New Roman"/>
      <w:spacing w:val="1"/>
      <w:shd w:fill="FFFFFF" w:val="clear"/>
    </w:rPr>
  </w:style>
  <w:style w:type="character" w:styleId="22">
    <w:name w:val="Основной текст2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1"/>
      <w:w w:val="100"/>
      <w:sz w:val="24"/>
      <w:szCs w:val="24"/>
      <w:u w:val="single"/>
      <w:lang w:val="ru-RU"/>
    </w:rPr>
  </w:style>
  <w:style w:type="character" w:styleId="Style19">
    <w:name w:val="Основной текст_"/>
    <w:qFormat/>
    <w:rPr>
      <w:rFonts w:ascii="Times New Roman" w:hAnsi="Times New Roman" w:eastAsia="Times New Roman" w:cs="Times New Roman"/>
      <w:spacing w:val="1"/>
      <w:shd w:fill="FFFFFF" w:val="clear"/>
    </w:rPr>
  </w:style>
  <w:style w:type="character" w:styleId="Style20">
    <w:name w:val="Абзац списка Знак"/>
    <w:qFormat/>
    <w:rPr>
      <w:rFonts w:ascii="Times New Roman" w:hAnsi="Times New Roman" w:eastAsia="Times New Roman" w:cs="Times New Roman"/>
      <w:sz w:val="28"/>
      <w:szCs w:val="24"/>
    </w:rPr>
  </w:style>
  <w:style w:type="character" w:styleId="4">
    <w:name w:val="Заголовок 4 Знак"/>
    <w:qFormat/>
    <w:rPr>
      <w:rFonts w:ascii="Calibri" w:hAnsi="Calibri" w:eastAsia="Times New Roman" w:cs="Times New Roman"/>
      <w:b/>
      <w:bCs/>
      <w:sz w:val="28"/>
      <w:szCs w:val="28"/>
    </w:rPr>
  </w:style>
  <w:style w:type="character" w:styleId="Style21">
    <w:name w:val="Название Знак"/>
    <w:qFormat/>
    <w:rPr>
      <w:rFonts w:ascii="Cambria" w:hAnsi="Cambria" w:eastAsia="Times New Roman" w:cs="Cambria"/>
      <w:color w:val="17365D"/>
      <w:spacing w:val="5"/>
      <w:kern w:val="2"/>
      <w:sz w:val="52"/>
      <w:szCs w:val="52"/>
      <w:lang w:val="ru-RU"/>
    </w:rPr>
  </w:style>
  <w:style w:type="character" w:styleId="3">
    <w:name w:val="Заголовок 3 Знак"/>
    <w:qFormat/>
    <w:rPr>
      <w:rFonts w:ascii="Times New Roman" w:hAnsi="Times New Roman" w:eastAsia="Times New Roman" w:cs="Times New Roman"/>
      <w:b/>
      <w:bCs/>
      <w:kern w:val="2"/>
      <w:sz w:val="24"/>
      <w:szCs w:val="24"/>
      <w:u w:val="single"/>
    </w:rPr>
  </w:style>
  <w:style w:type="character" w:styleId="Style22">
    <w:name w:val="Основной шрифт абзаца"/>
    <w:qFormat/>
    <w:rPr/>
  </w:style>
  <w:style w:type="character" w:styleId="WW8Num15z1">
    <w:name w:val="WW8Num15z1"/>
    <w:qFormat/>
    <w:rPr>
      <w:lang w:val="ru-RU" w:bidi="ar-SA"/>
    </w:rPr>
  </w:style>
  <w:style w:type="character" w:styleId="WW8Num15z0">
    <w:name w:val="WW8Num15z0"/>
    <w:qFormat/>
    <w:rPr>
      <w:rFonts w:ascii="Times New Roman" w:hAnsi="Times New Roman" w:eastAsia="Times New Roman" w:cs="Times New Roman"/>
      <w:i/>
      <w:w w:val="99"/>
      <w:sz w:val="26"/>
      <w:szCs w:val="26"/>
      <w:lang w:val="ru-RU" w:bidi="ar-SA"/>
    </w:rPr>
  </w:style>
  <w:style w:type="character" w:styleId="WW8Num14z0">
    <w:name w:val="WW8Num14z0"/>
    <w:qFormat/>
    <w:rPr>
      <w:rFonts w:ascii="Times New Roman" w:hAnsi="Times New Roman" w:eastAsia="Times New Roman" w:cs="Times New Roman"/>
      <w:w w:val="99"/>
      <w:sz w:val="24"/>
      <w:szCs w:val="24"/>
      <w:lang w:val="ru-RU" w:bidi="ar-SA"/>
    </w:rPr>
  </w:style>
  <w:style w:type="character" w:styleId="WW8Num13z1">
    <w:name w:val="WW8Num13z1"/>
    <w:qFormat/>
    <w:rPr>
      <w:lang w:val="ru-RU" w:bidi="ar-SA"/>
    </w:rPr>
  </w:style>
  <w:style w:type="character" w:styleId="WW8Num13z0">
    <w:name w:val="WW8Num13z0"/>
    <w:qFormat/>
    <w:rPr>
      <w:rFonts w:ascii="Times New Roman" w:hAnsi="Times New Roman" w:eastAsia="Times New Roman" w:cs="Times New Roman"/>
      <w:w w:val="99"/>
      <w:sz w:val="26"/>
      <w:szCs w:val="26"/>
      <w:lang w:val="ru-RU" w:bidi="ar-SA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1z1">
    <w:name w:val="WW8Num11z1"/>
    <w:qFormat/>
    <w:rPr>
      <w:lang w:val="ru-RU" w:bidi="ar-SA"/>
    </w:rPr>
  </w:style>
  <w:style w:type="character" w:styleId="WW8Num10z1">
    <w:name w:val="WW8Num10z1"/>
    <w:qFormat/>
    <w:rPr>
      <w:lang w:val="ru-RU" w:bidi="ar-SA"/>
    </w:rPr>
  </w:style>
  <w:style w:type="character" w:styleId="WW8Num9z1">
    <w:name w:val="WW8Num9z1"/>
    <w:qFormat/>
    <w:rPr>
      <w:rFonts w:ascii="Times New Roman" w:hAnsi="Times New Roman" w:eastAsia="Times New Roman" w:cs="Times New Roman"/>
      <w:w w:val="99"/>
      <w:sz w:val="26"/>
      <w:szCs w:val="26"/>
      <w:lang w:val="ru-RU" w:bidi="ar-SA"/>
    </w:rPr>
  </w:style>
  <w:style w:type="character" w:styleId="WW8Num8z3">
    <w:name w:val="WW8Num8z3"/>
    <w:qFormat/>
    <w:rPr>
      <w:lang w:val="ru-RU" w:bidi="ar-SA"/>
    </w:rPr>
  </w:style>
  <w:style w:type="character" w:styleId="WW8Num8z2">
    <w:name w:val="WW8Num8z2"/>
    <w:qFormat/>
    <w:rPr>
      <w:b/>
      <w:bCs/>
      <w:w w:val="99"/>
      <w:lang w:val="ru-RU" w:bidi="ar-SA"/>
    </w:rPr>
  </w:style>
  <w:style w:type="character" w:styleId="WW8Num8z1">
    <w:name w:val="WW8Num8z1"/>
    <w:qFormat/>
    <w:rPr>
      <w:rFonts w:ascii="Times New Roman" w:hAnsi="Times New Roman" w:eastAsia="Times New Roman" w:cs="Times New Roman"/>
      <w:b/>
      <w:bCs/>
      <w:w w:val="100"/>
      <w:sz w:val="28"/>
      <w:szCs w:val="28"/>
      <w:lang w:val="ru-RU" w:bidi="ar-SA"/>
    </w:rPr>
  </w:style>
  <w:style w:type="character" w:styleId="WW8Num6z1">
    <w:name w:val="WW8Num6z1"/>
    <w:qFormat/>
    <w:rPr>
      <w:lang w:val="ru-RU" w:bidi="ar-SA"/>
    </w:rPr>
  </w:style>
  <w:style w:type="character" w:styleId="WW8Num5z1">
    <w:name w:val="WW8Num5z1"/>
    <w:qFormat/>
    <w:rPr>
      <w:lang w:val="ru-RU" w:bidi="ar-SA"/>
    </w:rPr>
  </w:style>
  <w:style w:type="character" w:styleId="WW8Num4z1">
    <w:name w:val="WW8Num4z1"/>
    <w:qFormat/>
    <w:rPr>
      <w:lang w:val="ru-RU" w:bidi="ar-SA"/>
    </w:rPr>
  </w:style>
  <w:style w:type="character" w:styleId="WW8Num3z1">
    <w:name w:val="WW8Num3z1"/>
    <w:qFormat/>
    <w:rPr>
      <w:lang w:val="ru-RU" w:bidi="ar-SA"/>
    </w:rPr>
  </w:style>
  <w:style w:type="character" w:styleId="WW8Num1z0">
    <w:name w:val="WW8Num1z0"/>
    <w:qFormat/>
    <w:rPr>
      <w:b w:val="false"/>
      <w:bCs w:val="false"/>
      <w:w w:val="99"/>
    </w:rPr>
  </w:style>
  <w:style w:type="character" w:styleId="WW8Num12z0">
    <w:name w:val="WW8Num12z0"/>
    <w:qFormat/>
    <w:rPr>
      <w:rFonts w:ascii="Times New Roman" w:hAnsi="Times New Roman" w:eastAsia="Times New Roman" w:cs="Times New Roman"/>
      <w:w w:val="99"/>
      <w:sz w:val="24"/>
      <w:szCs w:val="24"/>
      <w:lang w:val="ru-RU" w:bidi="ar-SA"/>
    </w:rPr>
  </w:style>
  <w:style w:type="character" w:styleId="WW8Num11z0">
    <w:name w:val="WW8Num11z0"/>
    <w:qFormat/>
    <w:rPr>
      <w:rFonts w:ascii="Times New Roman" w:hAnsi="Times New Roman" w:eastAsia="Times New Roman" w:cs="Times New Roman"/>
      <w:w w:val="99"/>
      <w:sz w:val="26"/>
      <w:szCs w:val="26"/>
      <w:lang w:val="ru-RU" w:bidi="ar-SA"/>
    </w:rPr>
  </w:style>
  <w:style w:type="character" w:styleId="WW8Num9z0">
    <w:name w:val="WW8Num9z0"/>
    <w:qFormat/>
    <w:rPr>
      <w:i/>
      <w:w w:val="99"/>
      <w:lang w:val="ru-RU" w:bidi="ar-SA"/>
    </w:rPr>
  </w:style>
  <w:style w:type="character" w:styleId="WW8Num8z0">
    <w:name w:val="WW8Num8z0"/>
    <w:qFormat/>
    <w:rPr>
      <w:rFonts w:ascii="Times New Roman" w:hAnsi="Times New Roman" w:eastAsia="Times New Roman" w:cs="Times New Roman"/>
      <w:w w:val="99"/>
      <w:sz w:val="26"/>
      <w:szCs w:val="26"/>
      <w:lang w:val="ru-RU" w:bidi="ar-SA"/>
    </w:rPr>
  </w:style>
  <w:style w:type="character" w:styleId="WW8Num7z4">
    <w:name w:val="WW8Num7z4"/>
    <w:qFormat/>
    <w:rPr>
      <w:rFonts w:ascii="PT Astra Serif" w:hAnsi="PT Astra Serif" w:cs="PT Astra Serif"/>
      <w:lang w:val="ru-RU" w:bidi="ar-SA"/>
    </w:rPr>
  </w:style>
  <w:style w:type="character" w:styleId="WW8Num7z3">
    <w:name w:val="WW8Num7z3"/>
    <w:qFormat/>
    <w:rPr>
      <w:rFonts w:ascii="Times New Roman" w:hAnsi="Times New Roman" w:cs="Times New Roman"/>
      <w:w w:val="99"/>
      <w:sz w:val="26"/>
      <w:szCs w:val="26"/>
      <w:lang w:val="ru-RU" w:bidi="ar-SA"/>
    </w:rPr>
  </w:style>
  <w:style w:type="character" w:styleId="WW8Num7z1">
    <w:name w:val="WW8Num7z1"/>
    <w:qFormat/>
    <w:rPr>
      <w:rFonts w:ascii="Times New Roman" w:hAnsi="Times New Roman" w:eastAsia="Times New Roman" w:cs="Times New Roman"/>
      <w:w w:val="99"/>
      <w:sz w:val="26"/>
      <w:szCs w:val="26"/>
      <w:lang w:val="ru-RU" w:bidi="ar-SA"/>
    </w:rPr>
  </w:style>
  <w:style w:type="character" w:styleId="WW8Num7z0">
    <w:name w:val="WW8Num7z0"/>
    <w:qFormat/>
    <w:rPr>
      <w:lang w:val="ru-RU" w:bidi="ar-SA"/>
    </w:rPr>
  </w:style>
  <w:style w:type="character" w:styleId="WW8Num6z0">
    <w:name w:val="WW8Num6z0"/>
    <w:qFormat/>
    <w:rPr>
      <w:rFonts w:ascii="Times New Roman" w:hAnsi="Times New Roman" w:eastAsia="Times New Roman" w:cs="Times New Roman"/>
      <w:w w:val="99"/>
      <w:sz w:val="26"/>
      <w:szCs w:val="26"/>
      <w:lang w:val="ru-RU" w:bidi="ar-SA"/>
    </w:rPr>
  </w:style>
  <w:style w:type="character" w:styleId="WW8Num5z0">
    <w:name w:val="WW8Num5z0"/>
    <w:qFormat/>
    <w:rPr>
      <w:w w:val="99"/>
      <w:lang w:val="ru-RU" w:bidi="ar-SA"/>
    </w:rPr>
  </w:style>
  <w:style w:type="character" w:styleId="WW8Num4z0">
    <w:name w:val="WW8Num4z0"/>
    <w:qFormat/>
    <w:rPr>
      <w:rFonts w:ascii="Times New Roman" w:hAnsi="Times New Roman" w:eastAsia="Times New Roman" w:cs="Times New Roman"/>
      <w:w w:val="99"/>
      <w:sz w:val="26"/>
      <w:szCs w:val="26"/>
      <w:lang w:val="ru-RU" w:bidi="ar-SA"/>
    </w:rPr>
  </w:style>
  <w:style w:type="character" w:styleId="WW8Num3z0">
    <w:name w:val="WW8Num3z0"/>
    <w:qFormat/>
    <w:rPr>
      <w:rFonts w:ascii="Times New Roman" w:hAnsi="Times New Roman" w:cs="Times New Roman"/>
      <w:w w:val="99"/>
      <w:sz w:val="26"/>
      <w:szCs w:val="26"/>
      <w:lang w:val="ru-RU" w:bidi="ar-SA"/>
    </w:rPr>
  </w:style>
  <w:style w:type="character" w:styleId="WW8Num2z0">
    <w:name w:val="WW8Num2z0"/>
    <w:qFormat/>
    <w:rPr>
      <w:b w:val="false"/>
      <w:bCs w:val="false"/>
      <w:w w:val="99"/>
    </w:rPr>
  </w:style>
  <w:style w:type="paragraph" w:styleId="Style23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link w:val="Style12"/>
    <w:uiPriority w:val="1"/>
    <w:qFormat/>
    <w:rsid w:val="006d6b7a"/>
    <w:pPr/>
    <w:rPr>
      <w:sz w:val="26"/>
      <w:szCs w:val="26"/>
    </w:rPr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1"/>
    <w:qFormat/>
    <w:rsid w:val="006d6b7a"/>
    <w:pPr>
      <w:ind w:firstLine="710" w:left="395"/>
    </w:pPr>
    <w:rPr>
      <w:sz w:val="24"/>
      <w:szCs w:val="24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18254d"/>
    <w:pPr/>
    <w:rPr>
      <w:rFonts w:ascii="Tahoma" w:hAnsi="Tahoma" w:cs="Tahoma"/>
      <w:sz w:val="16"/>
      <w:szCs w:val="16"/>
    </w:rPr>
  </w:style>
  <w:style w:type="paragraph" w:styleId="TableParagraph" w:customStyle="1">
    <w:name w:val="Table Paragraph"/>
    <w:basedOn w:val="Normal"/>
    <w:uiPriority w:val="1"/>
    <w:qFormat/>
    <w:rsid w:val="00790eb8"/>
    <w:pPr>
      <w:jc w:val="center"/>
    </w:pPr>
    <w:rPr>
      <w:rFonts w:eastAsia="Times New Roman"/>
      <w:lang w:eastAsia="en-U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232f3b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5"/>
    <w:uiPriority w:val="99"/>
    <w:unhideWhenUsed/>
    <w:rsid w:val="00232f3b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link w:val="Style16"/>
    <w:uiPriority w:val="99"/>
    <w:semiHidden/>
    <w:unhideWhenUsed/>
    <w:rsid w:val="00b02321"/>
    <w:pPr/>
    <w:rPr>
      <w:sz w:val="20"/>
      <w:szCs w:val="20"/>
    </w:rPr>
  </w:style>
  <w:style w:type="paragraph" w:styleId="Style25">
    <w:name w:val="Содержимое врезки"/>
    <w:basedOn w:val="Normal"/>
    <w:qFormat/>
    <w:pPr/>
    <w:rPr/>
  </w:style>
  <w:style w:type="paragraph" w:styleId="Style26">
    <w:name w:val="Верхний колонтитул слева"/>
    <w:basedOn w:val="Header"/>
    <w:qFormat/>
    <w:pPr/>
    <w:rPr/>
  </w:style>
  <w:style w:type="numbering" w:styleId="Style2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6d6b7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rustest.ru/img/ege/ege2008-blank-2-dop.jpg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jpe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jpe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1.png"/><Relationship Id="rId27" Type="http://schemas.openxmlformats.org/officeDocument/2006/relationships/image" Target="media/image22.png"/><Relationship Id="rId28" Type="http://schemas.openxmlformats.org/officeDocument/2006/relationships/image" Target="media/image23.png"/><Relationship Id="rId29" Type="http://schemas.openxmlformats.org/officeDocument/2006/relationships/image" Target="media/image24.png"/><Relationship Id="rId30" Type="http://schemas.openxmlformats.org/officeDocument/2006/relationships/image" Target="media/image25.png"/><Relationship Id="rId31" Type="http://schemas.openxmlformats.org/officeDocument/2006/relationships/image" Target="media/image26.png"/><Relationship Id="rId32" Type="http://schemas.openxmlformats.org/officeDocument/2006/relationships/image" Target="media/image27.png"/><Relationship Id="rId33" Type="http://schemas.openxmlformats.org/officeDocument/2006/relationships/image" Target="media/image28.png"/><Relationship Id="rId34" Type="http://schemas.openxmlformats.org/officeDocument/2006/relationships/image" Target="media/image29.png"/><Relationship Id="rId35" Type="http://schemas.openxmlformats.org/officeDocument/2006/relationships/image" Target="media/image30.jpeg"/><Relationship Id="rId36" Type="http://schemas.openxmlformats.org/officeDocument/2006/relationships/image" Target="media/image31.png"/><Relationship Id="rId37" Type="http://schemas.openxmlformats.org/officeDocument/2006/relationships/image" Target="media/image32.png"/><Relationship Id="rId38" Type="http://schemas.openxmlformats.org/officeDocument/2006/relationships/header" Target="header4.xml"/><Relationship Id="rId39" Type="http://schemas.openxmlformats.org/officeDocument/2006/relationships/header" Target="header5.xml"/><Relationship Id="rId40" Type="http://schemas.openxmlformats.org/officeDocument/2006/relationships/footnotes" Target="footnotes.xml"/><Relationship Id="rId41" Type="http://schemas.openxmlformats.org/officeDocument/2006/relationships/numbering" Target="numbering.xml"/><Relationship Id="rId42" Type="http://schemas.openxmlformats.org/officeDocument/2006/relationships/fontTable" Target="fontTable.xml"/><Relationship Id="rId43" Type="http://schemas.openxmlformats.org/officeDocument/2006/relationships/settings" Target="settings.xml"/><Relationship Id="rId44" Type="http://schemas.openxmlformats.org/officeDocument/2006/relationships/theme" Target="theme/theme1.xml"/><Relationship Id="rId4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CFE04F03-993C-4080-93F8-20FD0FB60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Application>LibreOffice/24.8.4.2$Linux_X86_64 LibreOffice_project/480$Build-2</Application>
  <AppVersion>15.0000</AppVersion>
  <Pages>40</Pages>
  <Words>5860</Words>
  <Characters>36672</Characters>
  <CharactersWithSpaces>42176</CharactersWithSpaces>
  <Paragraphs>404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егэ</dc:creator>
  <dc:description/>
  <dc:language>ru-RU</dc:language>
  <cp:lastModifiedBy/>
  <dcterms:modified xsi:type="dcterms:W3CDTF">2026-02-19T09:17:25Z</dcterms:modified>
  <cp:revision>37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