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ПОЛОЖЕНИЕ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об организации и проведении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 Всероссийской муниципальной премии «Служение»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Общие положения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Положение об организации и проведении Всероссийской муниципальной премии «С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лужение» (далее — Положение) определяет порядок и проведение Всероссийской муниципальной премии «Служение» (далее — Премия) за 2024 год. Всероссийская муниципальная премия «Служение» проводится по поручению Президента Российской Федерации Владимира Путина.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Премия присваивается выдающимся представителям муниципального сообщества — людям (служащим), которые внесли особый вклад в развитие муниципальных образований и повышение качества жизни граждан.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Список номинаций Премии: «Развитие территории — благополучие жителей»,  «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Прямои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̆ разговор — доверие к власти», «Укрепляя партнерство — расширяем возможности», «Инициатива каждого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общии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̆ успех», «Институт настав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ничества — для будущего страны», «Забота о семьях героев — вклад в общую победу», «Великое наследие — для будущих поколений», «Благополучие семьи — приоритет государства», «Молодые кадры — на службе страны», «Мужество и героизм — на благо служения Родине».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Организатор Премии: Всероссийская ассоциация развития местного самоуправления (ВАРМСУ): г. Москва, пер. Банный, д. 3, оф. 411. ИНН 7702469413, ОГРН 1197700007691.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Основным документом Премии является настоящее Положение.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Официальным сайтом с информацией о Премии является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премияслужение.рф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(далее — Сайт).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Официальным языком Премии является русский язык.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Подача заявки на соискание Премии и участие в конкурсном отборе являются бесплатными.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Термины и определения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720"/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При проведении Премии используются следующие термины и определения: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интеллектуальная деятельность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— это деятельность, направленная на создание результатов нематериального характера в сфере науки, искусства, литературы и других областях;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информационный партнёр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— государственные, частные и общественные организации всех уровней, осуществляющие информационную поддержку Премии;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лауреат Премии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участник, занявший второе или третье место в соответствующей номинации по итогам оценки Экспертного совета и результатам народного голосования;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color w:val="ff000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личный кабинет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персональная страница на Сайте Премии, доступ к которой есть только у участника; </w:t>
      </w:r>
      <w:r>
        <w:rPr>
          <w:rFonts w:ascii="Liberation Sans" w:hAnsi="Liberation Sans" w:cs="Liberation Sans"/>
          <w:b/>
          <w:color w:val="ff0000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наблюдательный совет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гарант соблюде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ний правил проведения Премии, а также объективности и беспристрастности определения победителей; содействует поддержанию высокой репутации Премии; формируется из представителей органов государственной власти, общественных объединений и частных организаций;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народное голосование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форма гражданского участия в выборе победителей номинаций путём голосования;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партнёр номинации —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государственные, частные и общественные организации всех уровней, осуществляющие ресурсную (техническую, организационную, экспертную и иную) поддержку Премии;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победитель номинации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участник, предоставивший лучшее управленческое решение, инициативу или проект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по мнению экспертного совета и результатам народного голосования;</w:t>
      </w:r>
      <w:r>
        <w:rPr>
          <w:rFonts w:ascii="Liberation Sans" w:hAnsi="Liberation Sans" w:cs="Liberation Sans"/>
          <w:b/>
          <w:i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претендент на номинирование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— соискатель Премии (далее — Участник), чье управленческое решение, инициатива или проект прошло анализ на соответствие критериям номинаций с применением информационных технологий;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призовое место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первое, второе и третье места в соответствующей номинации по итогам оценки Экспертного совета и результатам народного голосования;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соискатель Премии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—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глава муниципального образования (в соотв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етствии с понятием «муниципальное образование», указанным в п.1 ст. 2 Федерального закона от 06.10.2003 N 131-ФЗ «Об общих принципах организации местного самоуправления в Российской Федерации»), муниципальный служащий, работник муниципалитета, работник мун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иципальной организации, председатель, исполнительный директор и сотрудник советов муниципальных образований субъектов РФ, председатель ТОС, член ТОС, сельский староста, муниципальный депутат, зарегистрированный на сайте Премии и подавший заявку на участие;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color w:val="1f1f1f"/>
          <w:sz w:val="20"/>
          <w:szCs w:val="20"/>
          <w:highlight w:val="white"/>
        </w:rPr>
        <w:t xml:space="preserve">управленческое решение, инициатива или проект</w:t>
      </w: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 —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комплекс мероприятий или план деятельности участника, соответствующий критериям, определенным для соответствующей номинации Премии;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церемония награждения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мероприятие в честь торжественного награждения лауреатов и победителей Премии;</w:t>
      </w: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цифровые технологии —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40c28"/>
          <w:sz w:val="20"/>
          <w:szCs w:val="20"/>
        </w:rPr>
        <w:t xml:space="preserve">технологии сбора, хранения, обработки, поиска, передачи и представления данных в электронном виде, позволяющие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находить в данных закономерности по заявленным критериям;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эксперт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физическое лицо, обладающее достаточными компетенциями для объективной оценки проекта/управленческого решения;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экспертный совет —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определяет ТОП-100 участников и проектов для народного голосования и формируется из представителей организаций-партнёров общественных организаций и экспертного сообщества.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-142" w:firstLine="568"/>
        <w:jc w:val="both"/>
        <w:spacing w:after="160" w:line="259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Цели и задачи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Цель Премии — объединить муниципальное сообщество страны и повысить престиж муниципальной службы.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Задача Премии — освещение деятельности муниципального сообщества; поощрение граждан и организаций, внесших особый вклад в решение важных задач/проблем на местах. Популяризация муниципальной службы и мотивация муниципального сообщества за счёт признания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их общего вклада и личных достижений на самом высоком уровне. Привлечение внимания к муниципальной повестке и позитивным изменениям на местах, формирование позитивного образа муниципального сообщества и раскрытие понятия «служение».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after="16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Проведение Премии базируется на следующих принципах: открытость, прозрачность, объективность, эффективность.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after="16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Основные требования к проведению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Правила, формат описания этапов и сроки проведения Всероссийской муниципальной премии «Служение» подлежат публикации на официальном Сайте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 рамках соискания Всероссийской муниципальной премии «Служение» номинации Премии присуждаются в десяти категориях (далее — Номинациях). Перечень Номинаций Премии утверждён Организаторами и опубликован на Сайте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Претендент на соискание премии — </w:t>
      </w:r>
      <w:r>
        <w:rPr>
          <w:rFonts w:ascii="Liberation Sans" w:hAnsi="Liberation Sans" w:eastAsia="Liberation Sans" w:cs="Liberation Sans"/>
          <w:color w:val="1f1f1f"/>
          <w:sz w:val="20"/>
          <w:szCs w:val="20"/>
          <w:highlight w:val="white"/>
        </w:rPr>
        <w:t xml:space="preserve">управленческое решение, инициатива или проект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, соответствующий критериям, определённым для соответствующей Номинации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Соискатели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Соискателями Премии могут стать: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Главы муниципальных образований;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Муниципальные служащие и работники муниципалитетов;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Работники муниципальных организаций;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Председатели, исполнительные директора и сотрудники советов </w:t>
      </w:r>
      <w:r>
        <w:rPr>
          <w:rFonts w:ascii="Liberation Sans" w:hAnsi="Liberation Sans" w:eastAsia="Liberation Sans" w:cs="Liberation Sans"/>
          <w:sz w:val="20"/>
          <w:szCs w:val="20"/>
        </w:rPr>
        <w:tab/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ab/>
        <w:t xml:space="preserve">муниципальных образований субъектов РФ;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Председатели и члены ТОС, сельские старосты;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Муниципальные депутаты.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566"/>
        <w:jc w:val="both"/>
        <w:spacing w:after="24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Соискателем Премии может быть как один человек, так и команда, реализовавшая заявленное управленческое решение, инициативу или проект.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0" w:name="_1d6f08khdbdi"/>
      <w:r>
        <w:rPr>
          <w:rFonts w:ascii="Liberation Sans" w:hAnsi="Liberation Sans" w:eastAsia="Liberation Sans" w:cs="Liberation Sans"/>
          <w:sz w:val="20"/>
          <w:szCs w:val="20"/>
        </w:rPr>
      </w:r>
      <w:bookmarkEnd w:id="0"/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Порядок участия в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Старт приёма заявок на соискание Премии назначен на «17» декабря 2024</w:t>
      </w:r>
      <w:r>
        <w:rPr>
          <w:rFonts w:ascii="Liberation Sans" w:hAnsi="Liberation Sans" w:eastAsia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г. на Сайте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Определение претендентов на номинирование в Премии осуществляется путём самовыдвижения.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Для номинирования в Премии необходимо пройти электронную регист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рацию и подать заявку, заполнив анкету и прикрепив необходимые документы на Сайте Премии в сроки, указанные на Сайте. При заполнении анкеты на Сайте Премии участник Премии обязан указать достоверную и актуальную информацию на русском языке в соответствии с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установленной формой заявки. Организатор Премии вправе запросить у участника подтверждение анкетных данных, указанных при подаче заявки на участие. Указание недостоверной информации при заполнении анкетных данных является основанием для отклонения заявки.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Претендент на соискание Премии считается зарегистрированным участником, если он заполнил обязательные поля анкеты на Сайте Премии и прикрепил необходимые документы.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Своей регистрацией на Сайте Премии участник подтверждает, что он ознакомлен, принимает и полностью согласен с настоящим Положением о Премии</w:t>
      </w: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 Политикой обработки персональных данных при проведении Премии.</w:t>
      </w:r>
      <w:r>
        <w:rPr>
          <w:rFonts w:ascii="Liberation Sans" w:hAnsi="Liberation Sans" w:eastAsia="Liberation Sans" w:cs="Liberation Sans"/>
          <w:b/>
          <w:color w:val="ff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Регистрация участника означает его согласие, данное Организатору Премии, на следующие действия с его персональным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 данными: обработка и хранение персональных данных в соответствии с Политикой обработки персональных данных; передача, распространение  и предоставление доступа неограниченному кругу лиц, в целях организации его участия во Всероссийской муниципальной прем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ии «Служение», при этом участник в любое время имеет право отозвать свое согласие посредством составления соответствующего письменного документа, который может быть направлен в адрес Организатора по почте заказным письмом с уведомлением о вручении либо вру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чен лично под расписку представителю Организатора, а также указать срок дачи согласия. Размещая свое фотоизображение при регистрации на сайте участник дает свое согласие на использование Организатором фотоизображения участника путем размещения его на сайте</w:t>
      </w:r>
      <w:hyperlink r:id="rId11" w:tooltip="about:blank" w:history="1">
        <w:r>
          <w:rPr>
            <w:rFonts w:ascii="Liberation Sans" w:hAnsi="Liberation Sans" w:eastAsia="Liberation Sans" w:cs="Liberation Sans"/>
            <w:color w:val="ff0000"/>
            <w:sz w:val="20"/>
            <w:szCs w:val="20"/>
          </w:rPr>
          <w:t xml:space="preserve"> </w:t>
        </w:r>
      </w:hyperlink>
      <w:r>
        <w:rPr>
          <w:rFonts w:ascii="Liberation Sans" w:hAnsi="Liberation Sans" w:eastAsia="Liberation Sans" w:cs="Liberation Sans"/>
          <w:sz w:val="20"/>
          <w:szCs w:val="20"/>
        </w:rPr>
      </w:r>
      <w:hyperlink r:id="rId12" w:tooltip="about:blank" w:history="1">
        <w:r>
          <w:rPr>
            <w:rFonts w:ascii="Liberation Sans" w:hAnsi="Liberation Sans" w:eastAsia="Liberation Sans" w:cs="Liberation Sans"/>
            <w:color w:val="0000ff"/>
            <w:sz w:val="20"/>
            <w:szCs w:val="20"/>
            <w:u w:val="single"/>
          </w:rPr>
          <w:t xml:space="preserve">https://премияслужение.рф</w:t>
        </w:r>
      </w:hyperlink>
      <w:r>
        <w:rPr>
          <w:rFonts w:ascii="Liberation Sans" w:hAnsi="Liberation Sans" w:eastAsia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в объеме, определяемом Организатором.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Председатели и члены ТОС, сельские старосты и муниципальные депутаты при регистрации на сайте Премии дополнительно прикрепляют заявление на участие во Всероссийской муниципальной премии «Служение» (Приложение №1, Приложение №2, Приложение №3).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Если участник является не единственным участником управленческого решения, инициативы или проекта, своей регистрацией на сайте Премии он подтверждает, что: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284" w:leader="none"/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Все участники, являющиеся участниками управленческого решения, инициативы или проекта, выразили своё согласие с тем, чтобы проект/управленческое решение стало номинантом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Все участники, являющиеся участниками управленческого решения, инициативы или проекта, принимают и полностью согласны с настоящим Положением о Премии</w:t>
      </w: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 Политикой обработки персональных данных при проведении Премии, а также дают Согласие на обработку персональных данных.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Каждый участник может подать несколько заявок в одной номинации на соискание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Каждый участник может подать заявку сразу в нескольких номинациях с одним управленческим решением, инициативой или проектом на соискание Премии в каждой номинации.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Каждый участник может подать несколько заявок с разными управленческими решениями, инициативами или проектами в разных номинациях на соискание Премии в каждой номинации.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Управленческие решения, инициативы или проекты, ранее удостоившиеся призовых мест на Премии, не могут быть повторно номинированы на участие в 2024 г.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 обязан соблюдать права третьих лиц в отношении результатов интеллектуальной деятельности, используемых в материалах, представленных Организаторам, в соответствии с действующим законодательством РФ.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after="16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 предоставляет Организаторам право обнародования на Сайте материалов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, предоставленных указанными лицами Организаторам, кроме этого, участник предоставляет Организаторам право использования материалов, предоставленных указанными лицами Организаторам, включая воспроизведение, публичный показ, доведение до всеобщего сведения.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after="16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Организация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72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Для организации и обеспечения проведения Премии в соответствии с настоящим Положением Организаторы имеют право привлекать Исполнителя.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Исполнитель обязан: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Организовать и провести Премию в соответствии с настоящим Положением.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Разъяснять настоящее Положение и давать ответы соискателям Премии по всем вопросам, связанным с участием в Премии, на Сайте Премии (в разделе «Участникам»).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Исполнитель имеет право: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Пользоваться всеми правами, предусмотренными настоящим Положением и действующим законодательством Российской Федерации.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Передавать контактные данные участника с его согласия для последующей коммуникации с партнёрами Премии и/или иными третьими лицами.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35" w:hanging="6"/>
        <w:jc w:val="both"/>
        <w:spacing w:line="240" w:lineRule="auto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Размещать дополнительную информацию о Премии на Сайте.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35" w:hanging="6"/>
        <w:jc w:val="both"/>
        <w:spacing w:line="240" w:lineRule="auto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​​Вносить изменения в настоящее Положение.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after="160"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Порядок проведения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Сроки проведения Премии определяются Организаторами и указаны на Сайте.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Временные рамки Премии предусматривают следующие этапы: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Регистрация участников на Сайте и сбор заявок на соискание Премии — с 17.12.2024 г. до 09.02.2025 г. Редактирование заявок доступно участникам до 01.02.2025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Анализ заявок на соответствие критериям номинаций — с 10.02.2025 г. до 16.02.2025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Перекрёстная экспертиза среди участников (оценка от 1 до 5 управленческих решений, инициатив или проектов в других номинациях) — с 17.02.2025 г. до 28.02.2025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Онлайн-голосование Экспертного совета, определение ТОП-100 участников в десяти номинациях с 03.03.2025 г. до 16.03.2025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Народное голосование, определение ТОП-30 участников в десяти номинациях — с 31.03.2025 г. до 13.04.2025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Заседание Наблюдательного совета — апрель 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Подведение итогов, объявление победителей Премии и церемония награждения ТОП-30 — апрель 2025 г.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По решению Организатора Премии сроки приёма и рассмотрения заявок на соискание Премии, а также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сроки проведения этапов Премии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могут быть изменены в одностороннем порядке с последующим уведомлением на Сайте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72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Анализ заявок на соискание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Первичный анализ заявок на соответствие критериям Номинаций является необходимым и обязательным условием для соискания Премии в десяти номинациях.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Участники, чьи управленческие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решения, инициативы или проекты будут соответствовать критериям номинаций по итогам первичного анализа заявок, должны прикрепить в личном кабинете на Сайте ссылку на видеопрезентацию управленческого решения, инициативы или проекта, а также ссылку на любые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материалы, подтверждающие данные, представленные в текстовом описании управленческого решения, инициативы или проекта в сроки, указанные на Сайте.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Перекрёстная экспертиза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720"/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 рамках перекрёстной экспертизы каждый участник Премии оценивает от 1 до 5 управленческих решений, инициатив или проектов участников в др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угих номинациях. Управленческие решения, инициативы или проекты для оценки будут размещены в личном кабинете участника. Участникам будет предложено оценить их по нескольким критериям, а также написать короткое резюме (до 550 символов) по итогам экспертизы.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Количество управле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нческих решений, инициатив или проектов для экспертизы определяет Организатор Премии. Информация о количестве оцениваемых управленческих решений, инициатив или проектов будет опубликована в личном кабинете участника в момент старта перекрестной экспертизы.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Участие в этапе «Перекрёстная экспертиза» является необходимым и обязательным условием для соискания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Экспертный совет Премии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Экспертный совет является представительным и публичным органом, который обеспечивает общественное доверие, статус и авторитет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Состав Экспертного совета формируется из представителей организаций-партнёров, общественных организаций и экспертного сообщества.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Представители Экспертного совета не могут быть соискателями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 состав Экспертного совета входят: председатель Экспертного совета и представители Экспертного совета.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Экспертный совет включает в себя рабочие группы, которые соответствуют Номинациям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Состав Экспертного совета, включая председателя Экспертного совета, утверждается протоколом Организаторов. Представители Экспертного совета могут быть переизбраны неограниченное количество раз.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 предложению представителей Организатора при согласовании с председателем Экспертного совета в действующий состав Экспертного совет на основании решения Организатора могут быть включены новые участники.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Представители Экспертного совета должны добросовестно исполнять свои полномочия, руководствоваться принципами беспристрастности и объективности, соблюдать общепринятые нормы профессиональной этики и правила делового поведения.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Представители Экспертного совета не могут оценивать аффилированных или представленных ими участников/претендентов на Номинации Премии.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Экспертный совет осуществляет следующие полномочия: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Производит оценку управленческих решений, инициатив или проектов по заранее утвержденным критериям и формирует ТОП-100 участников, представивших лучшее управленческое решение, инициативу или проект </w:t>
      </w:r>
      <w:r>
        <w:rPr>
          <w:rFonts w:ascii="Liberation Sans" w:hAnsi="Liberation Sans" w:eastAsia="Liberation Sans" w:cs="Liberation Sans"/>
          <w:color w:val="1f1f1f"/>
          <w:sz w:val="20"/>
          <w:szCs w:val="20"/>
          <w:highlight w:val="white"/>
        </w:rPr>
        <w:t xml:space="preserve">по мнению Экспертного совета.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Утверждает ТОП-100 лучших управленческих решений, инициатив или проектов для публикации на Сайте для Народного голосования.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 общественных началах привлекает к своей работе независи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мых экспертов, специалистов предприятий и организаций, в том числе представителей предприятий малого и среднего бизнеса, органов государственной власти, а также представителей научного сообщества, деловых объединений, институтов развития и иных экспертов.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При проведении экспертизы представитель Экспертного совета обязан: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Анализировать материалы, представленные участниками, на соответствие критериям отбора</w:t>
      </w:r>
      <w:r>
        <w:rPr>
          <w:rFonts w:ascii="Liberation Sans" w:hAnsi="Liberation Sans" w:eastAsia="Liberation Sans" w:cs="Liberation Sans"/>
          <w:color w:val="ff0000"/>
          <w:sz w:val="20"/>
          <w:szCs w:val="20"/>
        </w:rPr>
        <w:t xml:space="preserve">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Анализировать результаты оценочных форм перекрёстной экспертизы.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1" w:firstLine="0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Заполнять оценочную форму управленческого решения, инициативы или проекта по каждому из критериев, учитывая оценочную форму управленческого решения, инициативы или проекта по итогам перекрёстной экспертизы.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" w:name="_yu9cdgqnxj2m"/>
      <w:r>
        <w:rPr>
          <w:rFonts w:ascii="Liberation Sans" w:hAnsi="Liberation Sans" w:eastAsia="Liberation Sans" w:cs="Liberation Sans"/>
          <w:sz w:val="20"/>
          <w:szCs w:val="20"/>
        </w:rPr>
      </w:r>
      <w:bookmarkEnd w:id="1"/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Наблюдательный совет Премии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 состав Наблюдательного совета входят: председатель Наблюдательного совета и представители Наблюдательного совета. Состав Наблюдательного совета опубликован на Сайте.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Представители Наблюдательного совета не могут быть соискателями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 задачи Наблюдательного совета входит обеспечение объективности, прозрачности и беспристрастности отбора победителей Премии.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 завершении Народного голосования проводится заседание Наблюдательного совета. Во время з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аседания Наблюдательного совета ведётся протокол. В протоколе указываются: место и время проведения заседания; лица, присутствующие на заседании; повестка заседания; принятые решения. Протокол заседания Наблюдательного совета согласовывается председателем.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2" w:name="_lx37u72di6yy"/>
      <w:r>
        <w:rPr>
          <w:rFonts w:ascii="Liberation Sans" w:hAnsi="Liberation Sans" w:eastAsia="Liberation Sans" w:cs="Liberation Sans"/>
          <w:sz w:val="20"/>
          <w:szCs w:val="20"/>
        </w:rPr>
      </w:r>
      <w:bookmarkEnd w:id="2"/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Критерии отбора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1004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13.1. Основные критерии отбора, которым должны соответствовать представленные управленческие решения, инициативы или проекты перечислены в Приложении №4 к настоящему Положению.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13.2.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Для каждого критерия определены весовые коэффициенты в зависимости от приоритетов Премии и специфики номинации.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13.3. Оценки будут выставлены по каждому из заранее утвержденных критериев.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3" w:name="_56vs5pz0k2lz"/>
      <w:r>
        <w:rPr>
          <w:rFonts w:ascii="Liberation Sans" w:hAnsi="Liberation Sans" w:eastAsia="Liberation Sans" w:cs="Liberation Sans"/>
          <w:sz w:val="20"/>
          <w:szCs w:val="20"/>
        </w:rPr>
      </w:r>
      <w:bookmarkEnd w:id="3"/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Народное голосование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line="240" w:lineRule="auto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 Народное голосование выдвигаются ТОП-100 участников, представивших лучшее управленческое решение, инициативу или проект </w:t>
      </w:r>
      <w:r>
        <w:rPr>
          <w:rFonts w:ascii="Liberation Sans" w:hAnsi="Liberation Sans" w:eastAsia="Liberation Sans" w:cs="Liberation Sans"/>
          <w:color w:val="1f1f1f"/>
          <w:sz w:val="20"/>
          <w:szCs w:val="20"/>
          <w:highlight w:val="white"/>
        </w:rPr>
        <w:t xml:space="preserve">по мнению Экспертного совета.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Принять участие в Народном голосовании и проголосовать за лучшее управленческое решение,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инициативу или проект может каждый. Для этого необходимо зарегистрироваться на Сайте, перейти в личный кабинет, выбрать раздел «Народное голосование» и проголосовать. Проголосовать можно только 1 (один) раз в Номинации (в каждой номинации – 1 (один) раз).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 результатам закрытого Народного голосования формируется ТОП-30 участников, представивших лучшее управленческое решение, инициативу или проект.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Результаты Народного голосования будут объявлены на церемонии награждения.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1004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Награждение 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ТОП-30 участников (1 (один) победитель Номинации и 2 (два) лауреата в каждой Номинации Премии станут почётными гостями церемонии награждения, которая пройдёт в Москве, получат награды от руководителей федеральных органов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государственнои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̆ власти и лидеров мнений</w:t>
      </w:r>
      <w:r>
        <w:rPr>
          <w:rFonts w:ascii="Liberation Sans" w:hAnsi="Liberation Sans" w:eastAsia="Liberation Sans" w:cs="Liberation Sans"/>
          <w:sz w:val="20"/>
          <w:szCs w:val="20"/>
        </w:rPr>
        <w:tab/>
        <w:t xml:space="preserve">и памятные подарки от партнёров Номинации.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ТОП-100 участников (10 (десять) лучших управленческих решений, инициатив или проектов в каждой из 10 (десяти) Номинаций) будут приглашены на церемонию награждения, которая пройдёт в Москве, и получат благодарственные письма от руководства страны.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Все участники получат внимание и широкое освещение их деятельности в СМИ, а также станут участниками муниципального сообщества на платформе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Муниципалитеты.РФ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Обязанности и права участника Премии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ind w:left="720"/>
        <w:jc w:val="both"/>
        <w:tabs>
          <w:tab w:val="left" w:pos="426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 Премии обязуется: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16.1.1. Соблюдать все условия настоящего Положения.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16.1.2. Проходить этапы Премии в назначенное время.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16.1.3. По запросу предоставлять Организатору дополнительные данные, необходимые для обеспечения участия в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16.1.4. Соблюдать действующее законодательство Российской Федерации.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Участник имеет право: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16.2.1. Своевременно получать информацию о сроках и условиях участия в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1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16.2.2. В любой момент отказаться от участия в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numPr>
          <w:ilvl w:val="0"/>
          <w:numId w:val="1"/>
        </w:numPr>
        <w:ind w:left="-142" w:firstLine="0"/>
        <w:jc w:val="both"/>
        <w:spacing w:before="240" w:after="0" w:line="259" w:lineRule="auto"/>
        <w:tabs>
          <w:tab w:val="left" w:pos="426" w:leader="none"/>
        </w:tabs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eastAsia="Liberation Sans" w:cs="Liberation Sans"/>
          <w:b/>
          <w:sz w:val="20"/>
          <w:szCs w:val="20"/>
        </w:rPr>
        <w:t xml:space="preserve">Заключительные положения</w:t>
      </w:r>
      <w:r>
        <w:rPr>
          <w:rFonts w:ascii="Liberation Sans" w:hAnsi="Liberation Sans" w:cs="Liberation Sans"/>
          <w:b/>
          <w:sz w:val="20"/>
          <w:szCs w:val="20"/>
        </w:rPr>
      </w:r>
    </w:p>
    <w:p>
      <w:pPr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Организаторы имеют право незамедлительно приостановить или прекратить действие прав участника, уведомив его об этом, в случае нарушения им условий настоящего Положения.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Основаниями для исключения из Премии могут стать: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Подача участником заявки в свободной форме о его исключении из номинации (номинаций)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Нарушение правил регистрации и подачи заявки на соискание Премии на Сайте, установленных настоящим Положением.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Публикации сведений и данных, нарушающих действующее законодательство Российской Федерации.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Предоставление подложных докуме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нтов или заведомо ложных сведений об участнике и/или представляемом управленческом решении, инициативе или проекте при заполнении анкеты участника Премии, в представленном видеоролике об управленческом решении, инициативе или проекте или во время интервью.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Нарушении прав третьих лиц на результаты интеллектуальной деятельности в материалах, предоставленных Организаторам участником.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2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Публикация ложной или дискредитирующей информации о Премии.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Информация, указанная в Положении и опубликованная на Сайте Премии, является общедоступной. 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Положение о Премии допускает внесение изменений. В случае внесения изменения информация обновляется на Сайте Премии. Если участник продолжил участие в Премии, он выражает согласие с внесёнными в Положение изменениями.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numPr>
          <w:ilvl w:val="1"/>
          <w:numId w:val="1"/>
        </w:numPr>
        <w:ind w:left="-142" w:firstLine="0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Организаторы не несут ответственности за сбои в сети Интернет, а также за действия организаций, обеспечивающих их работу.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pStyle w:val="682"/>
        <w:ind w:left="-142"/>
        <w:spacing w:before="240" w:after="0" w:line="259" w:lineRule="auto"/>
        <w:rPr>
          <w:rFonts w:ascii="Liberation Sans" w:hAnsi="Liberation Sans" w:cs="Liberation Sans"/>
          <w:sz w:val="20"/>
          <w:szCs w:val="20"/>
        </w:rPr>
        <w:sectPr>
          <w:headerReference w:type="default" r:id="rId9"/>
          <w:footerReference w:type="default" r:id="rId10"/>
          <w:footnotePr/>
          <w:endnotePr/>
          <w:type w:val="nextPage"/>
          <w:pgSz w:w="11909" w:h="16834" w:orient="portrait"/>
          <w:pgMar w:top="992" w:right="1440" w:bottom="1256" w:left="1440" w:header="720" w:footer="720" w:gutter="0"/>
          <w:pgNumType w:start="1"/>
          <w:cols w:num="1" w:sep="0" w:space="720" w:equalWidth="1"/>
          <w:docGrid w:linePitch="360"/>
        </w:sect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4" w:name="_6axrfuv0s750"/>
      <w:r>
        <w:rPr>
          <w:rFonts w:ascii="Liberation Sans" w:hAnsi="Liberation Sans" w:eastAsia="Liberation Sans" w:cs="Liberation Sans"/>
          <w:sz w:val="20"/>
          <w:szCs w:val="20"/>
        </w:rPr>
      </w:r>
      <w:bookmarkEnd w:id="4"/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5" w:name="_rj2ocf3nu4ca"/>
      <w:r>
        <w:rPr>
          <w:rFonts w:ascii="Liberation Sans" w:hAnsi="Liberation Sans" w:eastAsia="Liberation Sans" w:cs="Liberation Sans"/>
          <w:sz w:val="20"/>
          <w:szCs w:val="20"/>
        </w:rPr>
      </w:r>
      <w:bookmarkEnd w:id="5"/>
      <w:r>
        <w:rPr>
          <w:rFonts w:ascii="Liberation Sans" w:hAnsi="Liberation Sans" w:eastAsia="Liberation Sans" w:cs="Liberation Sans"/>
          <w:sz w:val="20"/>
          <w:szCs w:val="20"/>
        </w:rPr>
        <w:t xml:space="preserve">Приложение № 1 </w:t>
      </w:r>
      <w:r>
        <w:rPr>
          <w:rFonts w:ascii="Liberation Sans" w:hAnsi="Liberation Sans" w:eastAsia="Liberation Sans" w:cs="Liberation Sans"/>
          <w:sz w:val="20"/>
          <w:szCs w:val="20"/>
        </w:rPr>
        <w:br/>
        <w:t xml:space="preserve">к Положению о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Преми</w:t>
      </w:r>
      <w:r>
        <w:rPr>
          <w:rFonts w:ascii="Liberation Sans" w:hAnsi="Liberation Sans" w:eastAsia="Liberation Sans" w:cs="Liberation Sans"/>
          <w:sz w:val="20"/>
          <w:szCs w:val="20"/>
          <w:lang w:val="ru-RU"/>
        </w:rPr>
        <w:t xml:space="preserve">и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ФОРМА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Заявление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 участие во Всероссийской муниципальной премии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«Служение»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both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Я,_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________________________________________________________________________________________,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spacing w:line="259" w:lineRule="auto"/>
        <w:shd w:val="clear" w:color="auto" w:fill="ffffff"/>
        <w:rPr>
          <w:rFonts w:ascii="Liberation Sans" w:hAnsi="Liberation Sans" w:cs="Liberation Sans"/>
          <w:i/>
          <w:sz w:val="20"/>
          <w:szCs w:val="20"/>
        </w:rPr>
      </w:pP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(фамилия, инициалы соискателя Премии)</w:t>
      </w:r>
      <w:r>
        <w:rPr>
          <w:rFonts w:ascii="Liberation Sans" w:hAnsi="Liberation Sans" w:cs="Liberation Sans"/>
          <w:i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староста сельского населенного пункта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both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6" w:name="_8go38ja0ekp4"/>
      <w:r>
        <w:rPr>
          <w:rFonts w:ascii="Liberation Sans" w:hAnsi="Liberation Sans" w:eastAsia="Liberation Sans" w:cs="Liberation Sans"/>
          <w:sz w:val="20"/>
          <w:szCs w:val="20"/>
        </w:rPr>
      </w:r>
      <w:bookmarkEnd w:id="6"/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center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7" w:name="_nm3vvkv5sgl5"/>
      <w:r>
        <w:rPr>
          <w:rFonts w:ascii="Liberation Sans" w:hAnsi="Liberation Sans" w:eastAsia="Liberation Sans" w:cs="Liberation Sans"/>
          <w:sz w:val="20"/>
          <w:szCs w:val="20"/>
        </w:rPr>
      </w:r>
      <w:bookmarkEnd w:id="7"/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(наименование муниципального образования, на территории которого осуществляет деятельность соискатель Премии)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прошу допусти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ть меня к соисканию Всероссийской муниципальной премии «Служение» за 2024 год в номинации «________________________________________________________________________________»                                                                                   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Сообщаю о себе следующие сведения: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Дата рождения 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Контактные телефоны (рабочий, мобильный)/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e-mail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/рабочий почтовый адрес ________________________/ _________________/__________________/________________________________________________________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Основные профессиональные достижения за последний год 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Название управленческого решения, инициативы или проекта 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694"/>
        <w:tblW w:w="10560" w:type="dxa"/>
        <w:tblInd w:w="-10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6510"/>
      </w:tblGrid>
      <w:tr>
        <w:tblPrEx/>
        <w:trPr>
          <w:trHeight w:val="1485"/>
        </w:trPr>
        <w:tc>
          <w:tcPr>
            <w:tcBorders>
              <w:top w:val="single" w:color="FFFFFF" w:sz="6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-6" w:type="dxa"/>
              <w:top w:w="-6" w:type="dxa"/>
              <w:right w:w="-6" w:type="dxa"/>
              <w:bottom w:w="-6" w:type="dxa"/>
            </w:tcMar>
            <w:tcW w:w="4050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_____________________________ 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-297" w:type="dxa"/>
              <w:top w:w="-297" w:type="dxa"/>
              <w:right w:w="-297" w:type="dxa"/>
              <w:bottom w:w="-297" w:type="dxa"/>
            </w:tcMar>
            <w:tcW w:w="6510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             _____________________________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jc w:val="both"/>
              <w:spacing w:line="259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                                    (фамилия, инициалы соискателя)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050" w:type="dxa"/>
            <w:textDirection w:val="lrTb"/>
            <w:noWrap w:val="false"/>
          </w:tcPr>
          <w:p>
            <w:pPr>
              <w:jc w:val="both"/>
              <w:spacing w:after="240" w:line="259" w:lineRule="auto"/>
              <w:shd w:val="clear" w:color="auto" w:fill="ffff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51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tbl>
      <w:tblPr>
        <w:tblW w:w="0" w:type="auto"/>
        <w:tblInd w:w="-147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80"/>
        <w:gridCol w:w="2660"/>
        <w:gridCol w:w="2660"/>
      </w:tblGrid>
      <w:tr>
        <w:tblPrEx/>
        <w:trPr>
          <w:trHeight w:val="1155"/>
        </w:trPr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4980" w:type="dxa"/>
            <w:textDirection w:val="lrTb"/>
            <w:noWrap w:val="false"/>
          </w:tcPr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Start w:id="8" w:name="_6yofyw8bdup"/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End w:id="8"/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shd w:val="clear" w:color="auto" w:fill="ffffff"/>
              </w:rPr>
              <w:t xml:space="preserve">лава администрации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Cs/>
                <w:color w:val="000000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20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(фамилия, инициалы)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jc w:val="both"/>
        <w:spacing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  <w:sectPr>
          <w:footnotePr/>
          <w:endnotePr/>
          <w:type w:val="nextPage"/>
          <w:pgSz w:w="11909" w:h="16834" w:orient="portrait"/>
          <w:pgMar w:top="873" w:right="873" w:bottom="873" w:left="873" w:header="720" w:footer="720" w:gutter="0"/>
          <w:cols w:num="1" w:sep="0" w:space="720" w:equalWidth="1"/>
          <w:docGrid w:linePitch="360"/>
        </w:sect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9" w:name="_5w7hsgtuf3ja"/>
      <w:r>
        <w:rPr>
          <w:rFonts w:ascii="Liberation Sans" w:hAnsi="Liberation Sans" w:eastAsia="Liberation Sans" w:cs="Liberation Sans"/>
          <w:sz w:val="20"/>
          <w:szCs w:val="20"/>
        </w:rPr>
      </w:r>
      <w:bookmarkEnd w:id="9"/>
      <w:r>
        <w:rPr>
          <w:rFonts w:ascii="Liberation Sans" w:hAnsi="Liberation Sans" w:eastAsia="Liberation Sans" w:cs="Liberation Sans"/>
          <w:sz w:val="20"/>
          <w:szCs w:val="20"/>
        </w:rPr>
        <w:t xml:space="preserve">Приложение № 2 </w:t>
      </w:r>
      <w:r>
        <w:rPr>
          <w:rFonts w:ascii="Liberation Sans" w:hAnsi="Liberation Sans" w:eastAsia="Liberation Sans" w:cs="Liberation Sans"/>
          <w:sz w:val="20"/>
          <w:szCs w:val="20"/>
        </w:rPr>
        <w:br/>
        <w:t xml:space="preserve">к Положению о Премии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ФОРМА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Заявление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 участие во Всероссийской муниципальной премии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«Служение»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Я,_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___________________________________________________________________________________,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spacing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(фамилия, инициалы соискателя Премии)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депутат представительного органа муниципального образования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both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0" w:name="_d21fo55t0b7l"/>
      <w:r>
        <w:rPr>
          <w:rFonts w:ascii="Liberation Sans" w:hAnsi="Liberation Sans" w:eastAsia="Liberation Sans" w:cs="Liberation Sans"/>
          <w:sz w:val="20"/>
          <w:szCs w:val="20"/>
        </w:rPr>
      </w:r>
      <w:bookmarkEnd w:id="10"/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both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1" w:name="_8shb4sgef1vm"/>
      <w:r>
        <w:rPr>
          <w:rFonts w:ascii="Liberation Sans" w:hAnsi="Liberation Sans" w:eastAsia="Liberation Sans" w:cs="Liberation Sans"/>
          <w:sz w:val="20"/>
          <w:szCs w:val="20"/>
        </w:rPr>
      </w:r>
      <w:bookmarkEnd w:id="11"/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center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2" w:name="_xdzlkaxw427"/>
      <w:r>
        <w:rPr>
          <w:rFonts w:ascii="Liberation Sans" w:hAnsi="Liberation Sans" w:eastAsia="Liberation Sans" w:cs="Liberation Sans"/>
          <w:sz w:val="20"/>
          <w:szCs w:val="20"/>
        </w:rPr>
      </w:r>
      <w:bookmarkEnd w:id="12"/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(наименование муниципального образования, на территории которого осуществляет деятельность соискатель Премии)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«___________________________________________________________________________________»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                                                    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Сообщаю о себе следующие сведения: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Дата рождения 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Контактные телефоны (рабочий, мобильный)/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e-mail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/рабочий почтовый адрес ___________________________/ _________________/__________________/___________________________________________________________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Основные профессиональные достижения за последний год 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Название управленческого решения, инициативы или проекта _______________________________________________________________________________________________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696"/>
        <w:tblW w:w="10560" w:type="dxa"/>
        <w:tblInd w:w="-10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>
        <w:tblPrEx/>
        <w:trPr>
          <w:trHeight w:val="1090"/>
        </w:trPr>
        <w:tc>
          <w:tcPr>
            <w:tcBorders>
              <w:top w:val="single" w:color="FFFFFF" w:sz="6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-6" w:type="dxa"/>
              <w:top w:w="-6" w:type="dxa"/>
              <w:right w:w="-6" w:type="dxa"/>
              <w:bottom w:w="-6" w:type="dxa"/>
            </w:tcMar>
            <w:tcW w:w="4005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_____________________________   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  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(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подпись)</w:t>
            </w:r>
            <w:r>
              <w:rPr>
                <w:rFonts w:ascii="Liberation Sans" w:hAnsi="Liberation Sans" w:cs="Liberation Sans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-297" w:type="dxa"/>
              <w:top w:w="-297" w:type="dxa"/>
              <w:right w:w="-297" w:type="dxa"/>
              <w:bottom w:w="-297" w:type="dxa"/>
            </w:tcMar>
            <w:tcW w:w="6555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             _____________________________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jc w:val="both"/>
              <w:spacing w:line="259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             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  (фамилия, инициалы соискателя)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005" w:type="dxa"/>
            <w:textDirection w:val="lrTb"/>
            <w:noWrap w:val="false"/>
          </w:tcPr>
          <w:p>
            <w:pPr>
              <w:jc w:val="both"/>
              <w:spacing w:line="259" w:lineRule="auto"/>
              <w:shd w:val="clear" w:color="auto" w:fill="ffff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jc w:val="both"/>
              <w:spacing w:line="259" w:lineRule="auto"/>
              <w:shd w:val="clear" w:color="auto" w:fill="ffff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555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tbl>
      <w:tblPr>
        <w:tblW w:w="0" w:type="auto"/>
        <w:tblInd w:w="-147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80"/>
        <w:gridCol w:w="2660"/>
        <w:gridCol w:w="2660"/>
      </w:tblGrid>
      <w:tr>
        <w:tblPrEx/>
        <w:trPr>
          <w:trHeight w:val="1155"/>
        </w:trPr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4980" w:type="dxa"/>
            <w:textDirection w:val="lrTb"/>
            <w:noWrap w:val="false"/>
          </w:tcPr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Start w:id="13" w:name="_bwuox6mxnoy0"/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End w:id="13"/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shd w:val="clear" w:color="auto" w:fill="ffffff"/>
              </w:rPr>
              <w:t xml:space="preserve">лава администрации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Cs/>
                <w:color w:val="000000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20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(фамилия, инициалы)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sz w:val="20"/>
          <w:szCs w:val="20"/>
          <w:highlight w:val="none"/>
        </w:rPr>
      </w:r>
    </w:p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eastAsia="Liberation Sans" w:cs="Liberation Sans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Приложение № 3 </w:t>
      </w:r>
      <w:r>
        <w:rPr>
          <w:rFonts w:ascii="Liberation Sans" w:hAnsi="Liberation Sans" w:eastAsia="Liberation Sans" w:cs="Liberation Sans"/>
          <w:sz w:val="20"/>
          <w:szCs w:val="20"/>
        </w:rPr>
        <w:br/>
        <w:t xml:space="preserve">к Положению о Премии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</w:rPr>
      </w:r>
    </w:p>
    <w:p>
      <w:pPr>
        <w:ind w:left="-142"/>
        <w:jc w:val="both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ФОРМА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Заявление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 участие во Всероссийской муниципальной премии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-142"/>
        <w:jc w:val="center"/>
        <w:spacing w:after="16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«Служение»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Я,_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___________________________________________________________________________________________,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spacing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(фамилия, инициалы соискателя Премии)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председатель/член территориального общественного самоуправления (ТОС) </w:t>
      </w:r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(подчеркнуть нужное)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both"/>
        <w:spacing w:before="0" w:after="0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4" w:name="_snwa0ys1mi8k"/>
      <w:r>
        <w:rPr>
          <w:rFonts w:ascii="Liberation Sans" w:hAnsi="Liberation Sans" w:eastAsia="Liberation Sans" w:cs="Liberation Sans"/>
          <w:sz w:val="20"/>
          <w:szCs w:val="20"/>
        </w:rPr>
      </w:r>
      <w:bookmarkEnd w:id="14"/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3"/>
        <w:jc w:val="center"/>
        <w:spacing w:before="0" w:after="0"/>
        <w:rPr>
          <w:rFonts w:ascii="Liberation Sans" w:hAnsi="Liberation Sans" w:cs="Liberation Sans"/>
          <w:i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bookmarkStart w:id="15" w:name="_brq2zwe256yy"/>
      <w:r>
        <w:rPr>
          <w:rFonts w:ascii="Liberation Sans" w:hAnsi="Liberation Sans" w:eastAsia="Liberation Sans" w:cs="Liberation Sans"/>
          <w:sz w:val="20"/>
          <w:szCs w:val="20"/>
        </w:rPr>
      </w:r>
      <w:bookmarkEnd w:id="15"/>
      <w:r>
        <w:rPr>
          <w:rFonts w:ascii="Liberation Sans" w:hAnsi="Liberation Sans" w:eastAsia="Liberation Sans" w:cs="Liberation Sans"/>
          <w:i/>
          <w:sz w:val="20"/>
          <w:szCs w:val="20"/>
        </w:rPr>
        <w:t xml:space="preserve">(наименование муниципального образования, на территории которого осуществляет деятельность соискатель Премии)</w:t>
      </w:r>
      <w:r>
        <w:rPr>
          <w:rFonts w:ascii="Liberation Sans" w:hAnsi="Liberation Sans" w:cs="Liberation Sans"/>
          <w:i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прошу допустить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меня к соисканию Всероссийской муниципальной премии «Служение» за 2024 год в номинации «___________________________________________________________________________________»                                                                                   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Сообщаю о себе следующие сведения: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Дата рождения 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Контактные телефоны (рабочий, мобильный)/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e-mail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/рабочий почтовый адрес ___________________________/ _________________/__________________/___________________________________________________________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Основные профессиональные достижения за последний год 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Название управленческого решения, инициативы или проекта 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spacing w:before="240" w:after="240" w:line="259" w:lineRule="auto"/>
        <w:shd w:val="clear" w:color="auto" w:fill="ffff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_______________________________________________________________________________________________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 </w:t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698"/>
        <w:tblW w:w="10560" w:type="dxa"/>
        <w:tblInd w:w="-10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555"/>
      </w:tblGrid>
      <w:tr>
        <w:tblPrEx/>
        <w:trPr>
          <w:trHeight w:val="1090"/>
        </w:trPr>
        <w:tc>
          <w:tcPr>
            <w:tcBorders>
              <w:top w:val="single" w:color="FFFFFF" w:sz="6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-6" w:type="dxa"/>
              <w:top w:w="-6" w:type="dxa"/>
              <w:right w:w="-6" w:type="dxa"/>
              <w:bottom w:w="-6" w:type="dxa"/>
            </w:tcMar>
            <w:tcW w:w="4005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i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_____________________________ 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-297" w:type="dxa"/>
              <w:top w:w="-297" w:type="dxa"/>
              <w:right w:w="-297" w:type="dxa"/>
              <w:bottom w:w="-297" w:type="dxa"/>
            </w:tcMar>
            <w:tcW w:w="6555" w:type="dxa"/>
            <w:textDirection w:val="lrTb"/>
            <w:noWrap w:val="false"/>
          </w:tcPr>
          <w:p>
            <w:pPr>
              <w:jc w:val="both"/>
              <w:spacing w:before="520" w:line="259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           __________________________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_ 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 (</w:t>
            </w:r>
            <w:r>
              <w:rPr>
                <w:rFonts w:ascii="Liberation Sans" w:hAnsi="Liberation Sans" w:eastAsia="Liberation Sans" w:cs="Liberation Sans"/>
                <w:i/>
                <w:sz w:val="20"/>
                <w:szCs w:val="20"/>
              </w:rPr>
              <w:t xml:space="preserve">фамилия, инициалы соискателя)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005" w:type="dxa"/>
            <w:textDirection w:val="lrTb"/>
            <w:noWrap w:val="false"/>
          </w:tcPr>
          <w:p>
            <w:pPr>
              <w:jc w:val="both"/>
              <w:spacing w:line="259" w:lineRule="auto"/>
              <w:shd w:val="clear" w:color="auto" w:fill="ffff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jc w:val="both"/>
              <w:spacing w:line="259" w:lineRule="auto"/>
              <w:shd w:val="clear" w:color="auto" w:fill="ffff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6555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tbl>
      <w:tblPr>
        <w:tblW w:w="0" w:type="auto"/>
        <w:tblInd w:w="-147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80"/>
        <w:gridCol w:w="2660"/>
        <w:gridCol w:w="2660"/>
      </w:tblGrid>
      <w:tr>
        <w:tblPrEx/>
        <w:trPr>
          <w:trHeight w:val="1155"/>
        </w:trPr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4980" w:type="dxa"/>
            <w:textDirection w:val="lrTb"/>
            <w:noWrap w:val="false"/>
          </w:tcPr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Start w:id="16" w:name="_r25nkietqdhk"/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bookmarkEnd w:id="16"/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shd w:val="clear" w:color="auto" w:fill="ffffff"/>
              </w:rPr>
              <w:t xml:space="preserve">лава администрации муниципального образования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683"/>
              <w:ind w:left="-142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Cs/>
                <w:color w:val="000000"/>
                <w:sz w:val="20"/>
                <w:szCs w:val="20"/>
              </w:rPr>
              <w:t xml:space="preserve">«___» ___________ 20___ г.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160" w:type="dxa"/>
              <w:top w:w="220" w:type="dxa"/>
              <w:right w:w="160" w:type="dxa"/>
              <w:bottom w:w="220" w:type="dxa"/>
            </w:tcMar>
            <w:tcW w:w="0" w:type="auto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0" w:beforeAutospacing="0" w:after="20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__________________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  <w:p>
            <w:pPr>
              <w:pStyle w:val="701"/>
              <w:jc w:val="both"/>
              <w:spacing w:before="200" w:beforeAutospacing="0" w:after="0" w:afterAutospacing="0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i/>
                <w:iCs/>
                <w:color w:val="000000"/>
                <w:sz w:val="20"/>
                <w:szCs w:val="20"/>
              </w:rPr>
              <w:t xml:space="preserve">(фамилия, инициалы)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82"/>
        <w:ind w:left="-142"/>
        <w:jc w:val="right"/>
        <w:spacing w:before="240" w:after="0" w:line="259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Приложение № 4 </w:t>
      </w:r>
      <w:r>
        <w:rPr>
          <w:rFonts w:ascii="Liberation Sans" w:hAnsi="Liberation Sans" w:eastAsia="Liberation Sans" w:cs="Liberation Sans"/>
          <w:sz w:val="20"/>
          <w:szCs w:val="20"/>
        </w:rPr>
        <w:br/>
        <w:t xml:space="preserve">к Положению о Премии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Критерии оценки управленческих решений, инициатив и проектов участников Всероссийской муниципальной премии «Служение».</w:t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700"/>
        <w:tblW w:w="10617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462"/>
        <w:gridCol w:w="2400"/>
        <w:gridCol w:w="1680"/>
        <w:gridCol w:w="420"/>
        <w:gridCol w:w="5655"/>
      </w:tblGrid>
      <w:tr>
        <w:tblPrEx/>
        <w:trPr>
          <w:trHeight w:val="3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№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Номинация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Описание номинации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Критерии оценки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РАЗВИТИЕ ТЕРРИТОРИИ — БЛАГОПОЛУЧИЕ ЖИТЕЛЕЙ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внедрение управленческих решений, реализацию инициатив и проектов, способствующих росту благополучия муниципалитета и его жителей и направленные на комплексное развитие территорий и формирование привлекательной и комфортной среды для жизни, работы и отдыха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Инициативы, направленные на поддержку социально уязвимых групп, снижение уровня бедности и неравенства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Создание комфортной и привлекательной среды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Развитие инфраструктуры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Улучшение системы управления, сокращение бюрократических процедур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масштабировать и тиражировать управленческое решение, инициативу или проект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устойчивой долгосрочной потребности в результате реализации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Эффективность использования ресурсов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Охват аудитории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Длительность реализации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Сумма инвестиций в инфраструктуру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Число благоустроенных пространств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ПРЯМОЙ РАЗГОВОР — ДОВЕРИЕ К ВЛАСТИ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выстраивание эффективной коммуникации и обратной связи с населением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единой онлайн-площадки для обработки обращений населения в региональные и муниципальные органы власти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Уровень эффективности коммуникации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Системность в работе с обратной связью (наличие налаженных процессов сбора, обработки и анализа обратной связи)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Эффективность работы с обращениями в кризисных ситуациях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масштабировать и тиражировать управленческое решение, инициативу или проект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Инновационность решений и технологий, изобретательность и нетривиальность подходов, креативность и гибкость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Эффективность использования ресурсов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Инклюзивность (степень, в которой управленческое решение, инициатива или проект учитывает интересы различных социальных групп, включая уязвимые и малообеспеченные слои населения)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Ссылка на цифровой контент (видеоролик, фильм, сюжет и т.п.), созданный вами/вашей командой и опубликованный в социальных сетях, который, по вашему мнению, является примером качественного контента для вашей аудитории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Общее число обращений граждан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Процент отработанных обращений граждан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Частота коммуникаций/встреч с гражданами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УКРЕПЛЯЯ ПАРТНЁРСТВО — РАСШИРЯЕМ ВОЗМОЖНОСТИ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внедрение управленческих решений, реализацию инициатив и проектов, направленных на повышение качества жизни и реализованные за счёт выстраивания взаимодействия с бизнесом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Соблюдение принципа взаимовыгодного сотрудничества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Рентабельность реализации проекта с привлечением частного капитала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долгосрочных и взаимовыгодных связей с бизнес-партнёрами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Оценка устойчивости проекта в условиях изменения внешней среды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Создание новых рабочих мест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Направленность управленческого решения, инициативы или проекта на повышение качества жизни населения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Прозрачность и открытость процессов (наличие механизмов, обеспечивающих прозрачность в принятии решений и использовании ресурсов, а также информирование общественности о ходе реализации проекта)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Сумма привлеченных инвестиций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Количество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благополучателей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Продолжительность сотрудничества с ключевыми партнерами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Количество долгосрочных контрактов с бизнес-партнерами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ИНИЦИАТИВА КАЖДОГО — ОБЩИЙ УСПЕХ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внедрение управленческих решений, инициатив и проектов, реализованных совместно с жителями, и вовлечение граждан в вопросы развития территории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Непосредственное участие граждан в выдвижении и обсуждении проекта, решения или инициативы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Актуальность, степень влияния проекта на жизненные условия жителей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Степень учёта мнения жителей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Участие граждан в реализации проектов (в том числе посредством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софинансирования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, инициативных платежей, трудового участия)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Степень доверия и удовлетворённости жителей (уровень положительной оценки проекта со стороны участников и местного сообщества)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общественного контроля за реализацией инициатив граждан, доступность информации и открытость управленческого решения, инициативы или проекта для его участников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масштабировать и тиражировать управленческое решение, инициативу или проект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устойчивой долгосрочной потребности в результате реализации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Число вовлечённых граждан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проведённых публичных слушаний/совещаний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граждан, которые могут быть положительно затронуты управленческим решением, инициативой или проектом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ИНСТИТУТ НАСТАВНИЧЕСТВА — ДЛЯ БУДУЩЕГО СТРАНЫ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внедрение и реализацию целевой модели наставничества: «наставник — наставляемый»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Эффективность модели наставничества (структурированность, гибкость методологии)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Степень профессионального и личностного роста участников программы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Уровень поддержки и популяризации наставнического движения среди муниципальных служащих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взаимодействия «наставник-наставляемый» (регулярность и продолжительность встреч, учёт личных целей, особенностей и потенциала наставляемого, степень установления эффективных коммуникаций и взаимного доверия между наставником и наставляемым)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системы отбора и подготовки наставников (критерии отбора, наличие программ подготовки и повышения квалификации для наставников, сертификация)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Вовлечение и мотивация участников (количество участников, наличие систем мотивации и признания для активных участников программы, положительные отзывы и высокая степень удовлетворённости участников программой)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масштабировать и тиражировать управленческое решение, инициативу или проект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Инновационность решений и технологий, изобретательность и нетривиальность подходов, креативность и гибкость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пар «наставник-наставляемый»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Процент участников, успешно завершивших программу, от начального количества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мероприятий, проведённых в рамках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ЗАБОТА О СЕМЬЯХ ГЕРОЕВ — ВКЛАД В ОБЩУЮ ПОБЕДУ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проекты, управленческие решения и инициативы, направленные на поддержку семей ветеранов и военнослужащих СВО и создание условий для их благополучия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качества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жизни семей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Экономическая эффективность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Уровень привлечения ресурсов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Проект,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управленческое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решение или инициатива оказывают существенное положительное влияние на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условия жизни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сем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ей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военнослужащих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Сотрудничество и партнёрство с государственными органами, НКО, бизнесом, сообществами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Долгосрочность влияния управленческого решения, инициативы или проекта на благополучие семей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Актуальность и соответствие потребностям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масштабирования проекта и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тиражируемость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управленческого решения, инициативы 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Общее число семей, получивших поддержку в рамках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Увеличение доступа семей к социальным, медицинским, образовательным услугам в процентном соотношении благодаря реализованному управленческому решению, инициативе или проекту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ВЕЛИКОЕ НАСЛЕДИЕ — ДЛЯ БУДУЩИХ ПОКОЛЕНИЙ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воспитание подрастающего поколения в духе традиционных российских духовно-нравственных ценностей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Содержание управленческого решения, инициативы или проекта направлено на формирование у молодёжи любви к Родине и осознания гражданского долга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Управленческое решение, инициатива или проект способствует изучению и популяризации истории страны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Управленческое решение, инициатива или проект направлен на поддержку и сохранение традиций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Вовлечение подрастающего поколения (активное участие молодёжи в разработке и реализации управленческого решения, инициативы или проекта)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Охват аудитории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Социально-экономический эффект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Инновационный подход к воспитанию и образованию (использование современных педагогических технологий и методик)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Общее количество участников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Процент детей и молодёжи от общего числа участников, вовлечённых в программу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Охват аудитории через медиаканалы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БЛАГОПОЛУЧИЕ СЕМЬИ — ПРИОРИТЕТ ГОСУДАРСТВА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проекты, управленческие решения и инициативы, способствующие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народосбережению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, а также направленные на укрепление престижа и роли семьи в государстве и повышение качества жизни семей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Влияние проекта на укрепление престижа и роли семьи (социальная значимость, инновационность подхода, культурное влияние, поддержка разнообразия семей)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Повышение качества жизни семей (комплексность подхода, доступность услуг, удовлетворённость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получателей услуг, устойчивость и долговременный эффект)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Инициативы, способствующие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народосбережению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(стимулирование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рождаемостиз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, здоровье семьи, поддержка родителей, информационная работа)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Создание условий для развития граждан и благополучия общества (образовательные программы, социальная интеграция, партнёрство и сотрудничество с государственными органами, бизнесом и НКО)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12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 какой мере управленческое решение, инициатива или п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роект направлен на продвижение ценностей семьи и ответственное родительство, включая программы по укреплению семейных связей, психологической поддержке и воспитанию, вовлеченность родителей в образовательный и культурный процесс, гармоничное развитие детей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Поддержка разнообразия семей (учитывает ли проект потребности разных типов семей (многодетные, неполные, приёмные и т.д.)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Возможность масштабировать и тиражировать управленческое решение, инициативу или проект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Эффективность использования ресурсов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семей, получивших поддержку в рамках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мероприятий, посвящённых Году семьи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семей, участвующих в программах по укреплению семьи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Показатель рождаемости в регионе за 2024 г.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МОЛОДЫЕ КАДРЫ — НА СЛУЖБЕ СТРАНЫ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проекты, управленческие решения и инициативы молодых специалистов, внесших значительный вклад в муниципальную службу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Актуальность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Экономический эффект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Насколько проект или инициатива важны для социального благополучия и улучшения качества жизни в муниципалитете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Активность в профессиональных сообществах (членство в ассоциациях и профессиональных организациях, участие в конференциях, форумах и круглых столах)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Долгосрочный эффект и устойчивость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Вклад в развитие муниципальной службы (участие в разработке стратегических документов и планов, предложения по совершенствованию нормативно-правовой базы)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Соответствие стратегическим приоритетам региона (насколько управленческое решение, инициатива или проект соответствует долгосрочным целям социально-экономического развития субъекта федерации)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lang w:val="ru-RU"/>
              </w:rPr>
              <w:t xml:space="preserve">н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овационность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 и креативность управленческого решения, инициативы или проекта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граждан, затронутых управленческим решением, инициативой или проектом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Охват аудитории в СМИ об управленческом решении, инициативе или проекте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* Возрастной порог для молодого специалиста (до 35 лет на момент подачи заявки) (блокирующий)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* Стаж службы — от 3 лет (блокирующий)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МУЖЕСТВО И ГЕРОИЗМ — НА БЛАГО СЛУЖЕНИЯ РОДИНЕ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68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За мужество и героизм, проявленные представителями муниципального сообщества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Величина и значимость личного вклада (уникальность подвига или достижения, масштаб влияния)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Социальная значимость подвига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Масштаб и степень риска совершённых действий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12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Профессионализм и слаженность дейс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твий в экстремальных условиях (компетентность и мастерство, проявленные при выполнении профессиональных обязанностей, умение быстро и правильно принимать решения в критических ситуациях, эффективное использование знаний и навыков для достижения результата)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Личные качества и добродетели (самоотверженность и бескорыстие, гражданская ответственность)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Межсекторное сотрудничество (наличие эффективного взаимодействия между государственными органами, бизнесом и общественными организациями)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Влияние на общество и мотивация людей (мотивация на патриотические и героические поступки, пропаганда ценностей мужества, чести и долга перед Родиной, активное участие в воспитательных мероприятиях и передаче опыта подрастающему поколению)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Ориентация на привлечение единомышленников, создание сплочённых команд и мотивацию людей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Качество и содержательность 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6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68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655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Наличие благодарностей, упоминаний в СМИ, наград, писем поддержки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sectPr>
      <w:footnotePr/>
      <w:endnotePr/>
      <w:type w:val="nextPage"/>
      <w:pgSz w:w="11909" w:h="16834" w:orient="portrait"/>
      <w:pgMar w:top="566" w:right="566" w:bottom="566" w:left="87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ascii="Times New Roman" w:hAnsi="Times New Roman" w:eastAsia="Times New Roman" w:cs="Times New Roman"/>
        <w:b w:val="0"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861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8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8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8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8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8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8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8"/>
    <w:link w:val="692"/>
    <w:uiPriority w:val="10"/>
    <w:rPr>
      <w:sz w:val="48"/>
      <w:szCs w:val="48"/>
    </w:rPr>
  </w:style>
  <w:style w:type="character" w:styleId="37">
    <w:name w:val="Subtitle Char"/>
    <w:basedOn w:val="688"/>
    <w:link w:val="693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8"/>
    <w:link w:val="42"/>
    <w:uiPriority w:val="99"/>
  </w:style>
  <w:style w:type="paragraph" w:styleId="44">
    <w:name w:val="Footer"/>
    <w:basedOn w:val="68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paragraph" w:styleId="682">
    <w:name w:val="Heading 1"/>
    <w:basedOn w:val="681"/>
    <w:next w:val="681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83">
    <w:name w:val="Heading 2"/>
    <w:basedOn w:val="681"/>
    <w:next w:val="681"/>
    <w:uiPriority w:val="9"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84">
    <w:name w:val="Heading 3"/>
    <w:basedOn w:val="681"/>
    <w:next w:val="681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85">
    <w:name w:val="Heading 4"/>
    <w:basedOn w:val="681"/>
    <w:next w:val="681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86">
    <w:name w:val="Heading 5"/>
    <w:basedOn w:val="681"/>
    <w:next w:val="681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87">
    <w:name w:val="Heading 6"/>
    <w:basedOn w:val="681"/>
    <w:next w:val="681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table" w:styleId="69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92">
    <w:name w:val="Title"/>
    <w:basedOn w:val="681"/>
    <w:next w:val="681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93">
    <w:name w:val="Subtitle"/>
    <w:basedOn w:val="681"/>
    <w:next w:val="681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94" w:customStyle="1">
    <w:name w:val="StGen0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95" w:customStyle="1">
    <w:name w:val="StGen1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  <w:tcPr>
      <w:shd w:val="clear" w:color="auto" w:fill="ffffff"/>
    </w:tcPr>
  </w:style>
  <w:style w:type="table" w:styleId="696" w:customStyle="1">
    <w:name w:val="StGen2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97" w:customStyle="1">
    <w:name w:val="StGen3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  <w:tcPr>
      <w:shd w:val="clear" w:color="auto" w:fill="ffffff"/>
    </w:tcPr>
  </w:style>
  <w:style w:type="table" w:styleId="698" w:customStyle="1">
    <w:name w:val="StGen4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99" w:customStyle="1">
    <w:name w:val="StGen5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  <w:tcPr>
      <w:shd w:val="clear" w:color="auto" w:fill="ffffff"/>
    </w:tcPr>
  </w:style>
  <w:style w:type="table" w:styleId="700" w:customStyle="1">
    <w:name w:val="StGen6"/>
    <w:basedOn w:val="6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01">
    <w:name w:val="Normal (Web)"/>
    <w:basedOn w:val="68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Колган</cp:lastModifiedBy>
  <cp:revision>3</cp:revision>
  <dcterms:created xsi:type="dcterms:W3CDTF">2024-12-19T12:35:00Z</dcterms:created>
  <dcterms:modified xsi:type="dcterms:W3CDTF">2024-12-19T14:28:55Z</dcterms:modified>
</cp:coreProperties>
</file>