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Рисунок гр 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5/5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Натюрморт из трёх гипсовых геометрических тел.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Компановка изображения предметов на листе. Применение правил перспективы. Фон серый. Освещение боковое.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Карандаш простой, ластик, бумага формата А3.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814" w:dyaOrig="1619">
          <v:rect xmlns:o="urn:schemas-microsoft-com:office:office" xmlns:v="urn:schemas-microsoft-com:vml" id="rectole0000000000" style="width:140.700000pt;height:80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Предполагаемый натюрморт.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288" w:dyaOrig="2288">
          <v:rect xmlns:o="urn:schemas-microsoft-com:office:office" xmlns:v="urn:schemas-microsoft-com:vml" id="rectole0000000001" style="width:114.400000pt;height:114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Рисунок, который должен получиться.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06" w:dyaOrig="4211">
          <v:rect xmlns:o="urn:schemas-microsoft-com:office:office" xmlns:v="urn:schemas-microsoft-com:vml" id="rectole0000000002" style="width:190.300000pt;height:210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 рисунка.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539" w:dyaOrig="3209">
          <v:rect xmlns:o="urn:schemas-microsoft-com:office:office" xmlns:v="urn:schemas-microsoft-com:vml" id="rectole0000000003" style="width:176.950000pt;height:160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34" w:dyaOrig="3000">
          <v:rect xmlns:o="urn:schemas-microsoft-com:office:office" xmlns:v="urn:schemas-microsoft-com:vml" id="rectole0000000004" style="width:126.700000pt;height:150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Этап построения.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Когда построение рисунка в основном закончено, переходят к более тачной детальной проработке формы каждого предмета.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Находим самое светлое и самое темное место натуры, определяем тональный масштаб. Намечаем интенсивность самого темного места не используя, однако, всю силу карандаша. Далее штриховкой прокладываются тона в соответствии с их относительной силой в натуре. Идет беспрерывное сравнение каждой тени, полутона, света друг с другом.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34" w:dyaOrig="3000">
          <v:rect xmlns:o="urn:schemas-microsoft-com:office:office" xmlns:v="urn:schemas-microsoft-com:vml" id="rectole0000000005" style="width:126.700000pt;height:150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Важно, чтобы штрих совпадал с поверхностью формы.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Когда форма предметов конструктивно организована в пространстве, детально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пролеплена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светом и тенью, переходят к заключительной стадии рисования, к обобщению рисунка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00" w:dyaOrig="3000">
          <v:rect xmlns:o="urn:schemas-microsoft-com:office:office" xmlns:v="urn:schemas-microsoft-com:vml" id="rectole0000000006" style="width:165.000000pt;height:150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Свет и тень на кривых поверхностях распределяются более сложно по сравнению с гранеными. Сложность заключается в том, что блик, свет, полутень, собственная тень, рефлекс, падающая тень переходят друг в друга постепенно, без резких различий в тоне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Облегчённое задание для дистанционного обучения. Натюрморт из мячиков и кубика.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48" w:dyaOrig="6641">
          <v:rect xmlns:o="urn:schemas-microsoft-com:office:office" xmlns:v="urn:schemas-microsoft-com:vml" id="rectole0000000007" style="width:442.400000pt;height:332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Распологаем лист горизонтально. Главное: расположить предметы на листе, согласно размеру. В центре большой мяч, по бокам мяч и кубик меньшего размера.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45" w:dyaOrig="2814">
          <v:rect xmlns:o="urn:schemas-microsoft-com:office:office" xmlns:v="urn:schemas-microsoft-com:vml" id="rectole0000000008" style="width:187.250000pt;height:140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Предметы не должны распологаться у края листа.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48" w:dyaOrig="6641">
          <v:rect xmlns:o="urn:schemas-microsoft-com:office:office" xmlns:v="urn:schemas-microsoft-com:vml" id="rectole0000000009" style="width:442.400000pt;height:332.0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Чтобы предметы не висели в воздухе проводим линию горизонта. Это линия где заканчивается стол и начинается стена. Штриховка на предметы накладывается со стороны тени.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885" w:dyaOrig="2910">
          <v:rect xmlns:o="urn:schemas-microsoft-com:office:office" xmlns:v="urn:schemas-microsoft-com:vml" id="rectole0000000010" style="width:194.250000pt;height:145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Накладываем штриховку на шар.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915" w:dyaOrig="2894">
          <v:rect xmlns:o="urn:schemas-microsoft-com:office:office" xmlns:v="urn:schemas-microsoft-com:vml" id="rectole0000000011" style="width:195.750000pt;height:144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Выполняем штриховку на кубе.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