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36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36"/>
          <w:shd w:fill="auto" w:val="clear"/>
        </w:rPr>
        <w:t xml:space="preserve">Живопись гр 6/8 . (Преп. Дятлова Е.А.) 15.02.2022г.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32"/>
          <w:shd w:fill="auto" w:val="clear"/>
        </w:rPr>
        <w:t xml:space="preserve">Тема:  Гармония по общему цветовому тону.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Цель: Использование приёмов работы акварелью. 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Задача: Передача тоном и цветом нюансов родственных по гамме цветов.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Задание:  Натюрморт с корзиной и грибами на светлом теплом фоне 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без складок.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Материалы: Акварель,кисточка, простой карандаш,  бумага формата А3. </w:t>
      </w:r>
    </w:p>
    <w:p>
      <w:pPr>
        <w:spacing w:before="0" w:after="20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Пример натюрморта:</w:t>
      </w:r>
    </w:p>
    <w:p>
      <w:pPr>
        <w:spacing w:before="0" w:after="20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object w:dxaOrig="5625" w:dyaOrig="4215">
          <v:rect xmlns:o="urn:schemas-microsoft-com:office:office" xmlns:v="urn:schemas-microsoft-com:vml" id="rectole0000000000" style="width:281.250000pt;height:210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object w:dxaOrig="4545" w:dyaOrig="2489">
          <v:rect xmlns:o="urn:schemas-microsoft-com:office:office" xmlns:v="urn:schemas-microsoft-com:vml" id="rectole0000000001" style="width:227.250000pt;height:124.4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object w:dxaOrig="4004" w:dyaOrig="2835">
          <v:rect xmlns:o="urn:schemas-microsoft-com:office:office" xmlns:v="urn:schemas-microsoft-com:vml" id="rectole0000000002" style="width:200.200000pt;height:141.7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Dib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Приступаем к работе:  </w:t>
      </w:r>
    </w:p>
    <w:p>
      <w:pPr>
        <w:spacing w:before="0" w:after="20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Выбираем горизонтальный или вертикальный формат рисунка.</w:t>
      </w:r>
    </w:p>
    <w:p>
      <w:pPr>
        <w:spacing w:before="0" w:after="20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Сначала делаем еле заметный эскиз простым карандашом, соблюдая пропорции рисунка и предметов.</w:t>
      </w:r>
    </w:p>
    <w:p>
      <w:pPr>
        <w:spacing w:before="0" w:after="20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Делаем более детальную прорисовку. </w:t>
      </w:r>
    </w:p>
    <w:p>
      <w:pPr>
        <w:spacing w:before="0" w:after="20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Как только выполнили карандашом зарисовку, приступаем к заполнению рисунка цветом.</w:t>
      </w:r>
    </w:p>
    <w:p>
      <w:pPr>
        <w:spacing w:before="0" w:after="20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Далее выполняем общий эскиз цветового решения. Как мы видим, он ведется способом начального живописного подмалевка для последующих лессировок, в манере свободного письма. Одни части, к примеру корзины, более закончены, другие еще не тронуты краской. По данному подготовительному рисунку можно проследить ход мысли автора. Здесь в предварительном эскизе уже определена композиция на листе, намечены различия между теплым и холодным цветом. Мы видим, что корзина и грибы имеют различные оттенки цветов.</w:t>
      </w:r>
    </w:p>
    <w:p>
      <w:pPr>
        <w:spacing w:before="0" w:after="20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Одновременно, при живописи акварелью, помните, что краска по высыхании становится более светлой. Поэтому чтобы работа правильно отображала реальность, кладите краску более насыщенную, чем она вам видится в натуре.</w:t>
      </w:r>
    </w:p>
    <w:p>
      <w:pPr>
        <w:spacing w:before="0" w:after="20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Проложив свет, устанавливайте полутень, а затем тень. Свет может несколько захватывать полутень, полутень может захватывать тень. Тени на корзине под воздействием рефлексов будут отличаться между собой и по светосиле, и по оттенку цвета.</w:t>
      </w:r>
    </w:p>
    <w:p>
      <w:pPr>
        <w:spacing w:before="0" w:after="20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Примеры натюрмортов:</w:t>
      </w:r>
    </w:p>
    <w:p>
      <w:pPr>
        <w:spacing w:before="0" w:after="20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