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auto" w:line="408" w:before="0" w:after="0"/>
        <w:ind w:left="120" w:hanging="0"/>
        <w:jc w:val="center"/>
        <w:rPr>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55310" cy="77793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7779385"/>
                    </a:xfrm>
                    <a:prstGeom prst="rect">
                      <a:avLst/>
                    </a:prstGeom>
                  </pic:spPr>
                </pic:pic>
              </a:graphicData>
            </a:graphic>
          </wp:anchor>
        </w:drawing>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ПОЯСНИТЕЛЬНАЯ ЗАПИСКА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Настоящая Программа обеспечивает: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возможность выработки и закрепления у обучающихся умений и навыков, необходимых для последующей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выработку практико-ориентированных компетенций, соответствующих потребностям современности;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1 «Культура безопасности жизнедеятельности в современном обществе»;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2 «Безопасность в быту»;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3 «Безопасность на транспорте»;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4 «Безопасность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5 «Безопасность в природной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6 «Здоровье и как его сохранить. Основы медицинских знаний»;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7 «Безопасность в социуме»;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8 «Безопасность в информационном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 9 «Основы противодействия экстремизму и терроризму»;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модуль №10 «Взаимодействие личности, общества и государства в обеспечении безопасности жизни и здоровья населения».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ОБЩАЯ ХАРАКТЕРИСТИКА УЧЕБНОГО ПРЕДМЕТА «ОСНОВЫ БЕЗОПАСНОСТИ ЖИЗНЕДЕЯТЕЛЬНОСТИ»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ЦЕЛЬ ИЗУЧЕНИЯ УЧЕБНОГО ПРЕДМЕТА «ОСНОВЫ БЕЗОПАСНОСТИ ЖИЗНЕДЕЯТЕЛЬНОСТИ»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Normal"/>
        <w:numPr>
          <w:ilvl w:val="0"/>
          <w:numId w:val="1"/>
        </w:numPr>
        <w:spacing w:lineRule="exact" w:line="264" w:before="0" w:after="0"/>
        <w:jc w:val="both"/>
        <w:rPr>
          <w:sz w:val="24"/>
          <w:szCs w:val="24"/>
        </w:rPr>
      </w:pPr>
      <w:r>
        <w:rPr>
          <w:rFonts w:ascii="Times New Roman" w:hAnsi="Times New Roman"/>
          <w:b w:val="false"/>
          <w:i w:val="false"/>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Normal"/>
        <w:numPr>
          <w:ilvl w:val="0"/>
          <w:numId w:val="1"/>
        </w:numPr>
        <w:spacing w:lineRule="exact" w:line="264" w:before="0" w:after="0"/>
        <w:jc w:val="both"/>
        <w:rPr>
          <w:sz w:val="24"/>
          <w:szCs w:val="24"/>
        </w:rPr>
      </w:pPr>
      <w:r>
        <w:rPr>
          <w:rFonts w:ascii="Times New Roman" w:hAnsi="Times New Roman"/>
          <w:b w:val="false"/>
          <w:i w:val="false"/>
          <w:color w:val="000000"/>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Normal"/>
        <w:numPr>
          <w:ilvl w:val="0"/>
          <w:numId w:val="1"/>
        </w:numPr>
        <w:spacing w:lineRule="exact" w:line="264" w:before="0" w:after="0"/>
        <w:jc w:val="both"/>
        <w:rPr>
          <w:sz w:val="24"/>
          <w:szCs w:val="24"/>
        </w:rPr>
      </w:pPr>
      <w:r>
        <w:rPr>
          <w:rFonts w:ascii="Times New Roman" w:hAnsi="Times New Roman"/>
          <w:b w:val="false"/>
          <w:i w:val="false"/>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МЕСТО ПРЕДМЕТА В УЧЕБНОМ ПЛАНЕ</w:t>
      </w:r>
    </w:p>
    <w:p>
      <w:pPr>
        <w:pStyle w:val="Normal"/>
        <w:spacing w:lineRule="exact" w:line="264" w:before="0" w:after="0"/>
        <w:ind w:left="120" w:hanging="0"/>
        <w:jc w:val="both"/>
        <w:rPr>
          <w:sz w:val="24"/>
          <w:szCs w:val="24"/>
        </w:rPr>
      </w:pPr>
      <w:r>
        <w:rPr>
          <w:sz w:val="24"/>
          <w:szCs w:val="24"/>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left="120" w:hanging="0"/>
        <w:jc w:val="both"/>
        <w:rPr>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bookmarkStart w:id="0" w:name="block-47784921"/>
      <w:bookmarkStart w:id="1" w:name="block-4778492"/>
      <w:bookmarkEnd w:id="0"/>
      <w:bookmarkEnd w:id="1"/>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СОДЕРЖАНИЕ УЧЕБНОГО ПРЕДМЕТА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1 «Культура безопасности жизнедеятельности в современном обществе»: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цель и задачи учебного предмета ОБЖ, его ключевые понятия и значение для человека;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смысл понятий «опасность», «безопасность», «риск», «культура безопасности жизнедеятельности»;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источники и факторы опасности, их классификация;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общие принципы безопасного поведения;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виды чрезвычайных ситуаций, сходство и различия опасной, экстремальной и чрезвычайной ситуаций;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уровни взаимодействия человека и окружающей среды;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2 «Безопасность в быту»: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основные источники опасности в быту и их классификация;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защита прав потребителя, сроки годности и состав продуктов питания;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бытовые отравления и причины их возникновения, классификация ядовитых веществ и их 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признаки отравления, приёмы и правила оказания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комплектования и хранения домашней аптечки;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бытовые травмы и правила их предупреждения, приёмы и правила оказания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обращения с газовыми и электрическими приборами, приёмы и правила оказания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поведения в подъезде и лифте, а также при входе и выходе из них;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пожар и факторы его развития;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условия и причины возникновения пожаров, их возможные последствия, приёмы и правила оказания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первичные средства пожаротушения;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вызова экстренных служб и порядок взаимодействия с ними, ответственность за ложные сообщения;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права, обязанности и ответственность граждан в области пожарной безопасности;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ситуации криминального характера, правила поведения с малознакомыми людьми;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классификация аварийных ситуаций в коммунальных системах жизнеобеспечения;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подготовки к возможным авариям на коммунальных системах, порядок действий при авариях на коммунальных системах.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3 «Безопасность на транспорте»: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дорожного движения и их значение, условия обеспечения безопасности участников дорожного движения;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дорожного движения и дорожные знаки для пешеходов;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«дорожные ловушки» и правила их предупреждения;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световозвращающие элементы и правила их применения;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дорожного движения для пассажиров;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обязанности пассажиров маршрутных транспортных средств, ремень безопасности и правила его применения;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поведения пассажира мотоцикла;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дорожные знаки для водителя велосипеда, сигналы велосипедиста;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подготовки велосипеда к пользованию.</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4 «Безопасность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общественные места и их характеристики, потенциальные источники опасности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вызова экстренных служб и порядок взаимодействия с ними;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массовые мероприятия и правила подготовки к ним, оборудование мест массового пребывания людей;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беспорядках в местах массового пребывания людей;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попадании в толпу и давку;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обнаружении угрозы возникновения пожара;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эвакуации из общественных мест и зданий;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опасности криминогенного и антиобщественного характера в общественных местах, порядок действий при их возникновении;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взаимодействии с правоохранительными органами.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5 «Безопасность в природной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чрезвычайные ситуации природного характера и их классификация;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поведения, необходимые для снижения риска встречи с дикими животными, порядок действий при встрече с ними;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укусах диких животных, змей, пауков, клещей и насекомых;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автономные условия, их особенности и опасности, правила подготовки к длительному автономному существованию;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автономном существовании в природной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ориентирования на местности, способы подачи сигналов бедствия;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общие правила безопасного поведения на водоёмах, правила купания в подготовленных и неподготовленных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обнаружении тонущего человека;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поведения при нахождении на плавсредствах;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поведения при нахождении на льду, порядок действий при обнаружении человека в полынье.</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6 «Здоровье и как его сохранить. Основы медицинских знаний»: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смысл понятий «здоровье» и «здоровый образ жизни», их содержание и значение для человека;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факторы, влияющие на здоровье человека, опасность вредных привычек;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элементы здорового образа жизни, ответственность за сохранение здоровья;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понятие «инфекционные заболевания», причины их возникновения;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механизм распространения инфекционных заболеваний, меры их профилактики и защиты от них;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возникновении чрезвычайных ситуаций биолого-социального происхождения (эпидемия, пандемия);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понятие «неинфекционные заболевания» и их классификация, факторы риска неинфекционных заболеваний;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меры профилактики неинфекционных заболеваний и защиты от них;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диспансеризация и её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понятие «первая помощь» и обязанность по её оказанию, универсальный алгоритм оказания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назначение и состав аптечки первой помощи;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оказании первой помощи в различных ситуациях, приёмы психологической поддержки пострадавшего.</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7 «Безопасность в социуме»: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общение и его значение для человека, способы организации эффективного и позитивного 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манипуляции в ходе межличностного общения, приёмы распознавания манипуляций и способы противостояния им;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современные молодёжные увлечения и опасности, связанные с ними, правила безопасного поведения;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безопасной коммуникации с незнакомыми людьми.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8 «Безопасность в информационном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риски и угрозы при использовании Интернета;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противоправные действия в Интернете;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 xml:space="preserve">Модуль № 9 «Основы противодействия экстремизму и терроризму»: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понятия «экстремизм» и «терроризм», их содержание, причины, возможные варианты проявления и последствия;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цели и формы проявления террористических актов, их последствия, уровни террористической 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признаки вовлечения в террористическую деятельность, правила антитеррористического поведения;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признаки угроз и подготовки различных форм терактов, порядок действий при их обнаружении;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правила безопасного поведения в условиях совершения теракта;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10 «Взаимодействие личности, общества и государства в обеспечении безопасности жизни и здоровья населения»: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классификация чрезвычайных ситуаций природного и техногенного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государственные службы обеспечения безопасности, их роль и сфера ответственности, порядок взаимодействия с ними;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общественные институты и их место в системе обеспечения безопасности жизни и здоровья населения;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права, обязанности и роль граждан Российской Федерации в области защиты населения от чрезвычайных ситуаций;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антикоррупционное поведение как элемент общественной и государственной безопасности;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информирование и оповещение населения о чрезвычайных ситуациях, система ОКСИОН;</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средства индивидуальной и коллективной защиты населения, порядок пользования фильтрующим противогазом;</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sz w:val="24"/>
          <w:szCs w:val="24"/>
        </w:rPr>
      </w:pPr>
      <w:r>
        <w:rPr>
          <w:rFonts w:ascii="Times New Roman" w:hAnsi="Times New Roman"/>
          <w:b w:val="false"/>
          <w:i w:val="false"/>
          <w:color w:val="000000"/>
          <w:sz w:val="24"/>
          <w:szCs w:val="24"/>
        </w:rPr>
        <w:t>эвакуация населения в условиях чрезвычайных ситуаций, порядок действий населения при объявлении эвакуации.</w:t>
      </w:r>
      <w:bookmarkStart w:id="2" w:name="block-47784871"/>
      <w:bookmarkStart w:id="3" w:name="block-4778487"/>
      <w:bookmarkEnd w:id="2"/>
      <w:bookmarkEnd w:id="3"/>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ПЛАНИРУЕМЫЕ ОБРАЗОВАТЕЛЬНЫЕ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ЛИЧНОСТНЫЕ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1. Патриотическое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формирование чувства гордости за свою Родину, ответственного отношения к выполнению конституционного долга – защите Отечества.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2. Гражданское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3. Духовно-нравственное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4. Эстетическое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формирование гармоничной личности, развитие способности воспринимать, ценить и создавать прекрасное в повседневной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понимание взаимозависимости счастливого юношества и безопасного личного поведения в повседневной жизни.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5.</w:t>
      </w:r>
      <w:r>
        <w:rPr>
          <w:rFonts w:ascii="Times New Roman" w:hAnsi="Times New Roman"/>
          <w:b w:val="false"/>
          <w:i w:val="false"/>
          <w:color w:val="000000"/>
          <w:sz w:val="24"/>
          <w:szCs w:val="24"/>
        </w:rPr>
        <w:t xml:space="preserve"> </w:t>
      </w:r>
      <w:r>
        <w:rPr>
          <w:rFonts w:ascii="Times New Roman" w:hAnsi="Times New Roman"/>
          <w:b/>
          <w:i w:val="false"/>
          <w:color w:val="000000"/>
          <w:sz w:val="24"/>
          <w:szCs w:val="24"/>
        </w:rPr>
        <w:t>Ценности научного познания: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ориентация в деятельности на современную систему научных представлений об основных закономерностях развития чело</w:t>
        <w:softHyphen/>
        <w:t>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6.</w:t>
      </w:r>
      <w:r>
        <w:rPr>
          <w:rFonts w:ascii="Times New Roman" w:hAnsi="Times New Roman"/>
          <w:b w:val="false"/>
          <w:i w:val="false"/>
          <w:color w:val="000000"/>
          <w:sz w:val="24"/>
          <w:szCs w:val="24"/>
        </w:rPr>
        <w:t xml:space="preserve"> </w:t>
      </w:r>
      <w:r>
        <w:rPr>
          <w:rFonts w:ascii="Times New Roman" w:hAnsi="Times New Roman"/>
          <w:b/>
          <w:i w:val="false"/>
          <w:color w:val="000000"/>
          <w:sz w:val="24"/>
          <w:szCs w:val="24"/>
        </w:rPr>
        <w:t>Физическое воспитание, формирование культуры здоровья и эмоционального благополучия: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умение принимать себя и других, не осуждая;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умение осознавать эмоциональное состояние себя и других, уметь управлять собственным эмоциональным состоянием;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сформированность навыка рефлексии, признание своего права на ошибку и такого же права другого человека.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7. Трудовое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8. Экологическое воспитание: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МЕТАПРЕДМЕТНЫЕ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Метапредметные результаты, формируемые в ходе изучения учебного предмета ОБЖ, должны отражать:</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1. Овладение универсальными познавательными действи</w:t>
        <w:softHyphen/>
        <w:t>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Базовые логические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выявлять и характеризовать существенные признаки объектов (явлений);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существенный признак классификации, основания для обобщения и сравнения, критерии проводимого анализа;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Базовые исследовательские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Работа с информацией: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анализировать, систематизировать и интерпретировать информацию различных видов и форм представления;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w:t>
        <w:softHyphen/>
        <w:t>циями;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эффективно запоминать и систематизировать информацию.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Овладение системой универсальных познавательных действий обеспечивает сформированность когнитивных навыков обучающихся.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2. Овладение универсальными коммуникативными действи</w:t>
        <w:softHyphen/>
        <w:t>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Общение: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Совместная деятельность (сотрудничество):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понимать и использовать преимущества командной и индивидуальной работы при решении конкретной учебной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3. Овладение универсальными учебными регулятивными действиями.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Самоорганизация: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выявлять проблемные вопросы, требующие решения в жизненных и учебных ситуациях;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Самоконтроль (рефлексия):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оценивать соответствие результата цели и условиям.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Эмоциональный интеллект: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управлять собственными эмоциями и не поддаваться эмоциям других, выявлять и анализировать их причины;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ставить себя на место другого человека, понимать мотивы и намерения другого, регулировать способ выражения эмоций.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u w:val="single"/>
        </w:rPr>
        <w:t>Принятие себя и других: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осознанно относиться к другому человеку, его мнению, признавать право на ошибку свою и чужую;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быть открытым себе и другим, осознавать невозможность контроля всего вокруг.</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Предметные результаты по предметной области «Физическая культура и основы безопасности жизнедеятельности» должны обеспечивать: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 учебному предмету «Основы безопасности жизнедеятельности»: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5) сформированность чувства гордости за свою Родину, ответственного отношения к выполнению конституционного долга – защите Отечества;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Распределение предметных результатов, формируемых в ходе изучения учебного предмета ОБЖ, по учебным модулям:</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8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1 «Культура безопасности жизнедеятельности в современном обществе»</w:t>
      </w:r>
      <w:r>
        <w:rPr>
          <w:rFonts w:ascii="Times New Roman" w:hAnsi="Times New Roman"/>
          <w:b w:val="false"/>
          <w:i w:val="false"/>
          <w:color w:val="000000"/>
          <w:sz w:val="24"/>
          <w:szCs w:val="24"/>
        </w:rPr>
        <w:t>:</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общие принципы безопасного поведения.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2 «Безопасность в быту»: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особенности жизнеобеспечения жилища;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права, обязанности и ответственность граждан в области пожарной безопасности;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безопасного поведения, позволяющие предупредить возникновение опасных ситуаций в быту;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ситуации криминального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о правилах вызова экстренных служб и ответственности за ложные сообщения;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ситуациях криминального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3 «Безопасность на транспорте»: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виды опасностей на транспорте (наземный, подземный, железнодорожный, водный, воздушный);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4 «Безопасность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потенциальные источники опасности в общественных местах, в том числе техногенного происхождения;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безопасного поведения в местах массового пребывания людей (в толпе);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правила информирования экстренных служб;</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обнаружении в общественных местах бесхозных (потенциально опасных) вещей и предметов;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эвакуироваться из общественных мест и зданий;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возникновении пожара и происшествиях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ситуациях криминогенного и антиобщественного характера.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5 «Безопасность в природной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безопасного поведения на природе;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правила безопасного поведения на водоёмах в различное время года;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правила само- и взаимопомощи терпящим бедствие на воде;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и применять способы подачи сигнала о помощи.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6 «Здоровье и как его сохранить. Основы медицинских знаний»: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смысл понятий здоровья (физического и психического) и здорового образа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факторы, влияющие на здоровье человека;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сформировать негативное отношение к вредным привычкам (табакокурение, алкоголизм, наркомания, игровая зависимость);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мер защиты от инфекционных и неинфекционных заболеваний;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случае возникновения чрезвычайных ситуаций биолого-социального происхождения (эпидемии, пандемии);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оказывать первую помощь и самопомощь при неотложных состояниях.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7 «Безопасность в социуме»: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опасности и соблюдать правила безопасного поведения в практике современных молодёжных увлечений.</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8 «Безопасность в информационном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информационных и компьютерных угроз;</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владеть принципами безопасного использования Интернета;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предупреждать возникновение сложных и опасных ситуаций;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и предотвращать потенциальные риски и угрозы при использовании Интернета (например: мошенни</w:t>
        <w:softHyphen/>
        <w:t>чество, игромания, деструктивные сообщества в социальных сетях).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9 «Основы противодействия экстремизму и терроризму»: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понятия экстремизма, терроризма, их причины и последствия;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сформировать негативное отношение к экстремистской и террористической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организационные основы системы противодействия терроризму и экстремизму в Российской Федерации;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ситуации угрозы террористического акта в доме, в общественном месте;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обнаружении в общественных местах бесхозных (или опасных) вещей и предметов;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9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2 «Безопасность в быту»: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права, обязанности и ответственность граждан в области пожарной безопасности;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о правилах вызова экстренных служб и ответственности за ложные сообщения;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3 «Безопасность на транспорте»: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виды опасностей на транспорте (наземный, подземный, железнодорожный, водный, воздушный);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4 «Безопасность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правила информирования экстренных служб;</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возникновении пожара и происшествиях в общественных местах;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ситуациях криминогенного и антиобщественного характера.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5 «Безопасность в природной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смысл понятия экологии, экологической культуры, значение экологии для устойчивого развития общества;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помнить и выполнять правила безопасного поведения при неблагоприятной экологической обстановке;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правила безопасного поведения на водоёмах в различное время года;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правила само- и взаимопомощи терпящим бедствие на воде;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знать и применять способы подачи сигнала о помощи.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6 «Здоровье и как его сохранить. Основы медицинских знаний»: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оказывать первую помощь и самопомощь при неотложных состояниях.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7 «Безопасность в социуме»: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межличностного и группового конфликта;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способы избегания и разрешения конфликтных ситуаций;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опасные проявления конфликтов (в том числе насилие, буллинг (травля));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опасности и соблюдать правила безопасного поведения в практике современных молодёжных увлечений;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опасных проявлениях конфликта и при возможных манипуляциях.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8 «Безопасность в информационном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и предотвращать потенциальные риски и угрозы при использовании Интернета (например: мошенни</w:t>
        <w:softHyphen/>
        <w:t>чество, игромания, деструктивные сообщества в социальных сетях).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9 «Основы противодействия экстремизму и терроризму»: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понятия экстремизма, терроризма, их причины и последствия;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сформировать негативное отношение к экстремистской и террористической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организационные основы системы противодействия терроризму и экстремизму в Российской Федерации;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ситуации угрозы террористического акта в доме, в общественном месте;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при обнаружении в общественных местах бесхозных (или опасных) вещей и предметов;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Модуль № 10 «Взаимодействие личности, общества и государства в обеспечении безопасности жизни и здоровья населения»: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правила оповещения и эвакуации населения в условиях чрезвычайных ситуаций;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владеть правилами безопасного поведения и безопасно действовать в различных ситуациях;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владеть способами антикоррупционного поведения с учётом возрастных обязанностей;</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информировать население и соответствующие органы о возникновении опасных ситуаций.</w:t>
      </w:r>
      <w:bookmarkStart w:id="4" w:name="block-47784881"/>
      <w:bookmarkStart w:id="5" w:name="block-4778488"/>
      <w:bookmarkEnd w:id="4"/>
      <w:bookmarkEnd w:id="5"/>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1131"/>
        <w:gridCol w:w="2665"/>
        <w:gridCol w:w="1188"/>
        <w:gridCol w:w="1594"/>
        <w:gridCol w:w="1638"/>
        <w:gridCol w:w="2447"/>
        <w:gridCol w:w="2930"/>
      </w:tblGrid>
      <w:tr>
        <w:trPr>
          <w:trHeight w:val="144" w:hRule="atLeast"/>
        </w:trPr>
        <w:tc>
          <w:tcPr>
            <w:tcW w:w="11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6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442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447"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293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bCs/>
                <w:lang w:val="ru-RU"/>
              </w:rPr>
            </w:pPr>
            <w:r>
              <w:rPr>
                <w:rFonts w:ascii="Times New Roman" w:hAnsi="Times New Roman"/>
                <w:b/>
                <w:bCs/>
                <w:lang w:val="ru-RU"/>
              </w:rPr>
              <w:t>Учет рабочей программы воспитания</w:t>
            </w:r>
          </w:p>
        </w:tc>
      </w:tr>
      <w:tr>
        <w:trPr>
          <w:trHeight w:val="144" w:hRule="atLeast"/>
        </w:trPr>
        <w:tc>
          <w:tcPr>
            <w:tcW w:w="11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665"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447"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https://m.edsoo.ru/7f419506</w:t>
              </w:r>
            </w:hyperlink>
          </w:p>
        </w:tc>
        <w:tc>
          <w:tcPr>
            <w:tcW w:w="2930" w:type="dxa"/>
            <w:vMerge w:val="restart"/>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1"/>
                <w:numId w:val="2"/>
              </w:numPr>
              <w:tabs>
                <w:tab w:val="clear" w:pos="720"/>
                <w:tab w:val="left" w:pos="0" w:leader="none"/>
              </w:tabs>
              <w:spacing w:lineRule="auto" w:line="228" w:before="2" w:after="0"/>
              <w:ind w:left="0" w:right="226" w:hanging="709"/>
              <w:rPr>
                <w:sz w:val="20"/>
                <w:szCs w:val="20"/>
              </w:rPr>
            </w:pPr>
            <w:r>
              <w:rPr>
                <w:rFonts w:eastAsia="Times New Roman" w:cs="Times New Roman"/>
                <w:sz w:val="20"/>
                <w:szCs w:val="20"/>
                <w:lang w:val="ru-RU"/>
              </w:rPr>
              <w:t>Р</w:t>
            </w:r>
            <w:r>
              <w:rPr>
                <w:sz w:val="20"/>
                <w:szCs w:val="20"/>
              </w:rPr>
              <w:t>азвит</w:t>
            </w:r>
            <w:r>
              <w:rPr>
                <w:rFonts w:eastAsia="Times New Roman" w:cs="Times New Roman"/>
                <w:sz w:val="20"/>
                <w:szCs w:val="20"/>
                <w:lang w:val="ru-RU"/>
              </w:rPr>
              <w:t>ие</w:t>
            </w:r>
            <w:r>
              <w:rPr>
                <w:sz w:val="20"/>
                <w:szCs w:val="20"/>
              </w:rPr>
              <w:t xml:space="preserve"> социально значимых отношений школьников, и, прежде всего, ценностных отношений:</w:t>
            </w:r>
          </w:p>
          <w:p>
            <w:pPr>
              <w:pStyle w:val="ListParagraph"/>
              <w:widowControl w:val="false"/>
              <w:numPr>
                <w:ilvl w:val="1"/>
                <w:numId w:val="2"/>
              </w:numPr>
              <w:tabs>
                <w:tab w:val="clear" w:pos="720"/>
                <w:tab w:val="left" w:pos="0" w:leader="none"/>
              </w:tabs>
              <w:spacing w:lineRule="auto" w:line="228" w:before="2" w:after="0"/>
              <w:ind w:left="0" w:right="226" w:hanging="709"/>
              <w:jc w:val="left"/>
              <w:rPr>
                <w:sz w:val="20"/>
                <w:szCs w:val="20"/>
              </w:rPr>
            </w:pPr>
            <w:r>
              <w:rPr>
                <w:sz w:val="20"/>
                <w:szCs w:val="20"/>
              </w:rPr>
              <w:t>к своему отечеству, своей малой и большой Родине;</w:t>
            </w:r>
          </w:p>
          <w:p>
            <w:pPr>
              <w:pStyle w:val="ListParagraph"/>
              <w:widowControl w:val="false"/>
              <w:numPr>
                <w:ilvl w:val="1"/>
                <w:numId w:val="2"/>
              </w:numPr>
              <w:tabs>
                <w:tab w:val="clear" w:pos="720"/>
                <w:tab w:val="left" w:pos="0" w:leader="none"/>
              </w:tabs>
              <w:spacing w:lineRule="auto" w:line="228" w:before="5" w:after="0"/>
              <w:ind w:left="0" w:right="222" w:hanging="709"/>
              <w:jc w:val="left"/>
              <w:rPr>
                <w:sz w:val="20"/>
                <w:szCs w:val="20"/>
              </w:rPr>
            </w:pPr>
            <w:r>
              <w:rPr>
                <w:sz w:val="20"/>
                <w:szCs w:val="20"/>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2"/>
              </w:numPr>
              <w:tabs>
                <w:tab w:val="clear" w:pos="720"/>
                <w:tab w:val="left" w:pos="0" w:leader="none"/>
              </w:tabs>
              <w:spacing w:lineRule="auto" w:line="228" w:before="3" w:after="0"/>
              <w:ind w:left="0" w:right="224" w:hanging="709"/>
              <w:rPr>
                <w:sz w:val="20"/>
                <w:szCs w:val="20"/>
              </w:rPr>
            </w:pPr>
            <w:r>
              <w:rPr>
                <w:sz w:val="20"/>
                <w:szCs w:val="20"/>
              </w:rPr>
              <w:t>к миру как главному принципу человеческого общежития,</w:t>
            </w:r>
          </w:p>
          <w:p>
            <w:pPr>
              <w:pStyle w:val="ListParagraph"/>
              <w:widowControl w:val="false"/>
              <w:numPr>
                <w:ilvl w:val="1"/>
                <w:numId w:val="2"/>
              </w:numPr>
              <w:tabs>
                <w:tab w:val="clear" w:pos="720"/>
                <w:tab w:val="left" w:pos="0" w:leader="none"/>
              </w:tabs>
              <w:spacing w:lineRule="auto" w:line="228" w:before="2" w:after="0"/>
              <w:ind w:left="0" w:right="231" w:hanging="709"/>
              <w:rPr>
                <w:sz w:val="20"/>
                <w:szCs w:val="20"/>
              </w:rPr>
            </w:pPr>
            <w:r>
              <w:rPr>
                <w:sz w:val="20"/>
                <w:szCs w:val="20"/>
              </w:rPr>
              <w:t>к знаниям как интеллектуальному ресурсу,</w:t>
            </w:r>
          </w:p>
          <w:p>
            <w:pPr>
              <w:pStyle w:val="ListParagraph"/>
              <w:widowControl w:val="false"/>
              <w:numPr>
                <w:ilvl w:val="1"/>
                <w:numId w:val="2"/>
              </w:numPr>
              <w:tabs>
                <w:tab w:val="clear" w:pos="720"/>
                <w:tab w:val="left" w:pos="0" w:leader="none"/>
              </w:tabs>
              <w:spacing w:lineRule="auto" w:line="228" w:before="2" w:after="0"/>
              <w:ind w:left="0" w:right="231" w:hanging="709"/>
              <w:rPr>
                <w:sz w:val="20"/>
                <w:szCs w:val="20"/>
              </w:rPr>
            </w:pPr>
            <w:r>
              <w:rPr>
                <w:sz w:val="20"/>
                <w:szCs w:val="20"/>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2"/>
              </w:numPr>
              <w:tabs>
                <w:tab w:val="clear" w:pos="720"/>
                <w:tab w:val="left" w:pos="0" w:leader="none"/>
              </w:tabs>
              <w:ind w:left="0" w:right="223" w:hanging="709"/>
              <w:rPr>
                <w:sz w:val="20"/>
                <w:szCs w:val="20"/>
              </w:rPr>
            </w:pPr>
            <w:r>
              <w:rPr>
                <w:sz w:val="20"/>
                <w:szCs w:val="20"/>
              </w:rPr>
              <w:t>к окружающим людям как безусловной и абсолютной ценности,</w:t>
            </w:r>
          </w:p>
          <w:p>
            <w:pPr>
              <w:pStyle w:val="ListParagraph"/>
              <w:widowControl w:val="false"/>
              <w:numPr>
                <w:ilvl w:val="1"/>
                <w:numId w:val="2"/>
              </w:numPr>
              <w:tabs>
                <w:tab w:val="clear" w:pos="720"/>
                <w:tab w:val="left" w:pos="0" w:leader="none"/>
              </w:tabs>
              <w:spacing w:lineRule="auto" w:line="228" w:before="2" w:after="0"/>
              <w:ind w:left="0" w:right="231" w:hanging="709"/>
              <w:rPr>
                <w:sz w:val="20"/>
                <w:szCs w:val="20"/>
              </w:rPr>
            </w:pPr>
            <w:r>
              <w:rPr>
                <w:sz w:val="20"/>
                <w:szCs w:val="20"/>
              </w:rPr>
              <w:t>к самим себе как хозяевам своей судьбы, самоопределяющимся и самореализующимся личностям, отвечающим за свое собственное будущее. будущее человека, как результату кропотливого, но увлекательного учебного труда;</w:t>
            </w:r>
          </w:p>
          <w:p>
            <w:pPr>
              <w:pStyle w:val="ListParagraph"/>
              <w:widowControl w:val="false"/>
              <w:numPr>
                <w:ilvl w:val="1"/>
                <w:numId w:val="2"/>
              </w:numPr>
              <w:tabs>
                <w:tab w:val="clear" w:pos="720"/>
                <w:tab w:val="left" w:pos="0" w:leader="none"/>
              </w:tabs>
              <w:spacing w:lineRule="auto" w:line="228" w:before="3" w:after="0"/>
              <w:ind w:left="0" w:right="222" w:hanging="709"/>
              <w:jc w:val="left"/>
              <w:rPr>
                <w:sz w:val="20"/>
                <w:szCs w:val="20"/>
              </w:rPr>
            </w:pPr>
            <w:r>
              <w:rPr>
                <w:sz w:val="20"/>
                <w:szCs w:val="20"/>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0"/>
                <w:szCs w:val="20"/>
              </w:rPr>
              <w:t>ис</w:t>
            </w:r>
            <w:r>
              <w:rPr>
                <w:sz w:val="20"/>
                <w:szCs w:val="20"/>
              </w:rPr>
              <w:t>кусство, театр,</w:t>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быту"</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на транспорте"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общественных местах"</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140"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природной среде"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"Здоровье и как его сохранить. Основы медицинских знаний"</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социуме"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информационном пространстве"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"Основы противодействия экстремизму и терроризму"</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c>
          <w:tcPr>
            <w:tcW w:w="293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7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1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6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47"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29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796"/>
        <w:gridCol w:w="2826"/>
        <w:gridCol w:w="1142"/>
        <w:gridCol w:w="1248"/>
        <w:gridCol w:w="1247"/>
        <w:gridCol w:w="2941"/>
        <w:gridCol w:w="3393"/>
      </w:tblGrid>
      <w:tr>
        <w:trPr>
          <w:trHeight w:val="144" w:hRule="atLeast"/>
        </w:trPr>
        <w:tc>
          <w:tcPr>
            <w:tcW w:w="79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8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3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941"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33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bCs/>
                <w:lang w:val="ru-RU"/>
              </w:rPr>
            </w:pPr>
            <w:r>
              <w:rPr>
                <w:rFonts w:ascii="Times New Roman" w:hAnsi="Times New Roman"/>
                <w:b/>
                <w:bCs/>
                <w:lang w:val="ru-RU"/>
              </w:rPr>
              <w:t>Учет рабочей программы воспитания</w:t>
            </w:r>
          </w:p>
        </w:tc>
      </w:tr>
      <w:tr>
        <w:trPr>
          <w:trHeight w:val="144" w:hRule="atLeast"/>
        </w:trPr>
        <w:tc>
          <w:tcPr>
            <w:tcW w:w="79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2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941"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быту"</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c>
          <w:tcPr>
            <w:tcW w:w="3393" w:type="dxa"/>
            <w:vMerge w:val="restart"/>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1"/>
                <w:numId w:val="2"/>
              </w:numPr>
              <w:tabs>
                <w:tab w:val="clear" w:pos="720"/>
                <w:tab w:val="left" w:pos="0" w:leader="none"/>
              </w:tabs>
              <w:spacing w:lineRule="auto" w:line="228" w:before="2" w:after="0"/>
              <w:ind w:left="0" w:right="226" w:hanging="709"/>
              <w:rPr>
                <w:sz w:val="20"/>
                <w:szCs w:val="20"/>
              </w:rPr>
            </w:pPr>
            <w:r>
              <w:rPr>
                <w:rFonts w:eastAsia="Times New Roman" w:cs="Times New Roman"/>
                <w:sz w:val="20"/>
                <w:szCs w:val="20"/>
                <w:lang w:val="ru-RU"/>
              </w:rPr>
              <w:t>Р</w:t>
            </w:r>
            <w:r>
              <w:rPr>
                <w:sz w:val="20"/>
                <w:szCs w:val="20"/>
              </w:rPr>
              <w:t>азвит</w:t>
            </w:r>
            <w:r>
              <w:rPr>
                <w:rFonts w:eastAsia="Times New Roman" w:cs="Times New Roman"/>
                <w:sz w:val="20"/>
                <w:szCs w:val="20"/>
                <w:lang w:val="ru-RU"/>
              </w:rPr>
              <w:t>ие</w:t>
            </w:r>
            <w:r>
              <w:rPr>
                <w:sz w:val="20"/>
                <w:szCs w:val="20"/>
              </w:rPr>
              <w:t xml:space="preserve"> социально значимых отношений школьников, и, прежде всего, ценностных отношений:</w:t>
            </w:r>
          </w:p>
          <w:p>
            <w:pPr>
              <w:pStyle w:val="ListParagraph"/>
              <w:widowControl w:val="false"/>
              <w:numPr>
                <w:ilvl w:val="1"/>
                <w:numId w:val="2"/>
              </w:numPr>
              <w:tabs>
                <w:tab w:val="clear" w:pos="720"/>
                <w:tab w:val="left" w:pos="0" w:leader="none"/>
              </w:tabs>
              <w:spacing w:lineRule="auto" w:line="228" w:before="2" w:after="0"/>
              <w:ind w:left="0" w:right="226" w:hanging="709"/>
              <w:jc w:val="left"/>
              <w:rPr>
                <w:sz w:val="20"/>
                <w:szCs w:val="20"/>
              </w:rPr>
            </w:pPr>
            <w:r>
              <w:rPr>
                <w:sz w:val="20"/>
                <w:szCs w:val="20"/>
              </w:rPr>
              <w:t>к своему отечеству, своей малой и большой Родине;</w:t>
            </w:r>
          </w:p>
          <w:p>
            <w:pPr>
              <w:pStyle w:val="ListParagraph"/>
              <w:widowControl w:val="false"/>
              <w:numPr>
                <w:ilvl w:val="1"/>
                <w:numId w:val="2"/>
              </w:numPr>
              <w:tabs>
                <w:tab w:val="clear" w:pos="720"/>
                <w:tab w:val="left" w:pos="0" w:leader="none"/>
              </w:tabs>
              <w:spacing w:lineRule="auto" w:line="228" w:before="5" w:after="0"/>
              <w:ind w:left="0" w:right="222" w:hanging="709"/>
              <w:jc w:val="left"/>
              <w:rPr>
                <w:sz w:val="20"/>
                <w:szCs w:val="20"/>
              </w:rPr>
            </w:pPr>
            <w:r>
              <w:rPr>
                <w:sz w:val="20"/>
                <w:szCs w:val="20"/>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2"/>
              </w:numPr>
              <w:tabs>
                <w:tab w:val="clear" w:pos="720"/>
                <w:tab w:val="left" w:pos="0" w:leader="none"/>
              </w:tabs>
              <w:spacing w:lineRule="auto" w:line="228" w:before="3" w:after="0"/>
              <w:ind w:left="0" w:right="224" w:hanging="709"/>
              <w:rPr>
                <w:sz w:val="20"/>
                <w:szCs w:val="20"/>
              </w:rPr>
            </w:pPr>
            <w:r>
              <w:rPr>
                <w:sz w:val="20"/>
                <w:szCs w:val="20"/>
              </w:rPr>
              <w:t>к миру как главному принципу человеческого общежития,</w:t>
            </w:r>
          </w:p>
          <w:p>
            <w:pPr>
              <w:pStyle w:val="ListParagraph"/>
              <w:widowControl w:val="false"/>
              <w:numPr>
                <w:ilvl w:val="1"/>
                <w:numId w:val="2"/>
              </w:numPr>
              <w:tabs>
                <w:tab w:val="clear" w:pos="720"/>
                <w:tab w:val="left" w:pos="0" w:leader="none"/>
              </w:tabs>
              <w:spacing w:lineRule="auto" w:line="228" w:before="2" w:after="0"/>
              <w:ind w:left="0" w:right="231" w:hanging="709"/>
              <w:rPr>
                <w:sz w:val="20"/>
                <w:szCs w:val="20"/>
              </w:rPr>
            </w:pPr>
            <w:r>
              <w:rPr>
                <w:sz w:val="20"/>
                <w:szCs w:val="20"/>
              </w:rPr>
              <w:t>к знаниям как интеллектуальному ресурсу,</w:t>
            </w:r>
          </w:p>
          <w:p>
            <w:pPr>
              <w:pStyle w:val="ListParagraph"/>
              <w:widowControl w:val="false"/>
              <w:numPr>
                <w:ilvl w:val="1"/>
                <w:numId w:val="2"/>
              </w:numPr>
              <w:tabs>
                <w:tab w:val="clear" w:pos="720"/>
                <w:tab w:val="left" w:pos="0" w:leader="none"/>
              </w:tabs>
              <w:spacing w:lineRule="auto" w:line="228" w:before="2" w:after="0"/>
              <w:ind w:left="0" w:right="231" w:hanging="709"/>
              <w:rPr>
                <w:sz w:val="20"/>
                <w:szCs w:val="20"/>
              </w:rPr>
            </w:pPr>
            <w:r>
              <w:rPr>
                <w:sz w:val="20"/>
                <w:szCs w:val="20"/>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2"/>
              </w:numPr>
              <w:tabs>
                <w:tab w:val="clear" w:pos="720"/>
                <w:tab w:val="left" w:pos="0" w:leader="none"/>
              </w:tabs>
              <w:ind w:left="0" w:right="223" w:hanging="709"/>
              <w:rPr>
                <w:sz w:val="20"/>
                <w:szCs w:val="20"/>
              </w:rPr>
            </w:pPr>
            <w:r>
              <w:rPr>
                <w:sz w:val="20"/>
                <w:szCs w:val="20"/>
              </w:rPr>
              <w:t>к окружающим людям как безусловной и абсолютной ценности,</w:t>
            </w:r>
          </w:p>
          <w:p>
            <w:pPr>
              <w:pStyle w:val="ListParagraph"/>
              <w:widowControl w:val="false"/>
              <w:numPr>
                <w:ilvl w:val="1"/>
                <w:numId w:val="2"/>
              </w:numPr>
              <w:tabs>
                <w:tab w:val="clear" w:pos="720"/>
                <w:tab w:val="left" w:pos="0" w:leader="none"/>
              </w:tabs>
              <w:spacing w:lineRule="auto" w:line="228" w:before="2" w:after="0"/>
              <w:ind w:left="0" w:right="231" w:hanging="709"/>
              <w:jc w:val="left"/>
              <w:rPr>
                <w:sz w:val="20"/>
                <w:szCs w:val="20"/>
              </w:rPr>
            </w:pPr>
            <w:r>
              <w:rPr>
                <w:sz w:val="20"/>
                <w:szCs w:val="20"/>
              </w:rPr>
              <w:t>к самим себе как хозяевам своей судьбы, самоопределяющимся и самореализующимся личностям, отвечающим за свое собственное будущее. будущее человека, как результату кропотливого, но увлекательного учебного труда</w:t>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на транспорте"</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общественных местах"</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природной среде"</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"Здоровье и как его сохранить. Основы медицинских знаний"</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социуме"</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"Безопасность в информационном пространстве"</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"Основы противодействия экстремизму и терроризму"</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c>
          <w:tcPr>
            <w:tcW w:w="33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62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4"/>
              </w:rPr>
            </w:pPr>
            <w:r>
              <w:rPr>
                <w:rFonts w:ascii="Times New Roman" w:hAnsi="Times New Roman"/>
                <w:b w:val="false"/>
                <w:i w:val="false"/>
                <w:color w:val="000000"/>
                <w:sz w:val="24"/>
              </w:rPr>
              <w:t>1</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941"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Цель и основные понятия предмета ОБЖ</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https://m.edsoo.ru/f5eac5d4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Правила поведения в опасных и чрезвычайных ситуациях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https://m.edsoo.ru/f5eac746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опасности в быту. Предупреждение бытовых отравлений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https://m.edsoo.ru/f5eac8c2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Предупреждение бытовых травм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https://m.edsoo.ru/f5eacc82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https://m.edsoo.ru/f5eacdf4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Пожарная безопасность в быту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https://m.edsoo.ru/f5eacf84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Предупреждение ситуаций криминального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https://m.edsoo.ru/f5ead51a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Правила дорожного движения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https://m.edsoo.ru/f5ead68c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пешехода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https://m.edsoo.ru/f5eaefa0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пассажира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https://m.edsoo.ru/f5eaf78e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водителя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https://m.edsoo.ru/f5eaf946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опасности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https://m.edsoo.ru/f5eb038c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возникновении массовых беспорядков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https://m.edsoo.ru/f5eb06f2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https://m.edsoo.ru/f5eb0a76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Правила безопасного поведения на природе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https://m.edsoo.ru/f5eb0d96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https://m.edsoo.ru/f5eb14e4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Безопасное поведение на водоёмах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Общие представления о здоровье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https://m.edsoo.ru/f5eb279a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Предупреждение и защита от инфекционных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https://m.edsoo.ru/f5eb2c0e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Предупреждение и защита от неинфекционных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https://m.edsoo.ru/f5eb2d94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https://m.edsoo.ru/f5eb3384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https://m.edsoo.ru/f5eacc82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https://m.edsoo.ru/f5eb37ee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Общение — основа социального взаимодействия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https://m.edsoo.ru/f5eb3ca8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https://m.edsoo.ru/f5eb3f82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Безопасное поведение и современные увлечения молодёжи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https://m.edsoo.ru/f5eb4568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Общие принципы безопасности в цифровой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https://m.edsoo.ru/f5eb46da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правила цифрового поведения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https://m.edsoo.ru/f5eb4842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угрозе теракта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совершении теракта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https://m.edsoo.ru/f5eb6192</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Пожарная безопасность в быту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пассажира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https://m.edsoo.ru/f5eaf78e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водителя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https://m.edsoo.ru/f5eaf946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дорожно-транспортных происшествиях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https://m.edsoo.ru/f5eafef0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Безопасность пассажиров на различных видах транспорта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https://m.edsoo.ru/f5eafd42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при чрезвычайных ситуациях на транспорте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https://m.edsoo.ru/f5eb0210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https://m.edsoo.ru/f5eb0c10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https://m.edsoo.ru/f5eb14e4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Пожарная безопасность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https://m.edsoo.ru/f5eb0efe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Безопасное поведение в горах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https://m.edsoo.ru/f5eb1ac0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Безопасное поведение на водоёмах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угрозе наводнения, цунами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https://m.edsoo.ru/f5eb209c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урагане, буре, смерче, грозе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https://m.edsoo.ru/f5eb222c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угрозе землетрясения, извержения вулкана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https://m.edsoo.ru/f5eb23a8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Экология и её значение для устойчивого развития общества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Психическое здоровье и психологическое благополучие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https://m.edsoo.ru/f5eb3078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https://m.edsoo.ru/f5eb350a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Первая помощь и самопомощь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https://m.edsoo.ru/f5eb367c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Общение — основа социального взаимодействия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https://m.edsoo.ru/f5eb3ca8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способы избегания и разрешения конфликтных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https://m.edsoo.ru/f5eb425c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https://m.edsoo.ru/f5eb40ea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Безопасное поведение и современные увлечения молодёжи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https://m.edsoo.ru/f5eb4568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Опасные программы и явления цифровой среды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https://m.edsoo.ru/f5eb4842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правила цифрового поведения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https://m.edsoo.ru/f5eb46da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Деструктивные течения в Интернете и защита от них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https://m.edsoo.ru/f5eb4d4c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угрозе теракта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совершении теракта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Безопасные действия при совершении теракта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https://m.edsoo.ru/f5eb6192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https://m.edsoo.ru/f5eb644e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https://m.edsoo.ru/f5eb65c0</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6" w:name="block-4778490"/>
      <w:bookmarkStart w:id="7" w:name="block-4778490"/>
      <w:bookmarkEnd w:id="7"/>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bookmarkStart w:id="8" w:name="block-47784931"/>
      <w:bookmarkStart w:id="9" w:name="block-4778493"/>
      <w:bookmarkEnd w:id="8"/>
      <w:bookmarkEnd w:id="9"/>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692" w:hanging="721"/>
      </w:pPr>
      <w:rPr>
        <w:rFonts w:ascii="Times New Roman" w:hAnsi="Times New Roman" w:cs="Times New Roman" w:hint="default"/>
      </w:rPr>
    </w:lvl>
    <w:lvl w:ilvl="1">
      <w:start w:val="1"/>
      <w:numFmt w:val="bullet"/>
      <w:lvlText w:val=""/>
      <w:lvlJc w:val="left"/>
      <w:pPr>
        <w:tabs>
          <w:tab w:val="num" w:pos="0"/>
        </w:tabs>
        <w:ind w:left="692" w:hanging="720"/>
      </w:pPr>
      <w:rPr>
        <w:rFonts w:ascii="Symbol" w:hAnsi="Symbol" w:cs="Symbol" w:hint="default"/>
      </w:rPr>
    </w:lvl>
    <w:lvl w:ilvl="2">
      <w:start w:val="1"/>
      <w:numFmt w:val="bullet"/>
      <w:lvlText w:val=""/>
      <w:lvlJc w:val="left"/>
      <w:pPr>
        <w:tabs>
          <w:tab w:val="num" w:pos="0"/>
        </w:tabs>
        <w:ind w:left="2701" w:hanging="720"/>
      </w:pPr>
      <w:rPr>
        <w:rFonts w:ascii="Symbol" w:hAnsi="Symbol" w:cs="Symbol" w:hint="default"/>
      </w:rPr>
    </w:lvl>
    <w:lvl w:ilvl="3">
      <w:start w:val="1"/>
      <w:numFmt w:val="bullet"/>
      <w:lvlText w:val=""/>
      <w:lvlJc w:val="left"/>
      <w:pPr>
        <w:tabs>
          <w:tab w:val="num" w:pos="0"/>
        </w:tabs>
        <w:ind w:left="3701" w:hanging="720"/>
      </w:pPr>
      <w:rPr>
        <w:rFonts w:ascii="Symbol" w:hAnsi="Symbol" w:cs="Symbol" w:hint="default"/>
      </w:rPr>
    </w:lvl>
    <w:lvl w:ilvl="4">
      <w:start w:val="1"/>
      <w:numFmt w:val="bullet"/>
      <w:lvlText w:val=""/>
      <w:lvlJc w:val="left"/>
      <w:pPr>
        <w:tabs>
          <w:tab w:val="num" w:pos="0"/>
        </w:tabs>
        <w:ind w:left="4702" w:hanging="720"/>
      </w:pPr>
      <w:rPr>
        <w:rFonts w:ascii="Symbol" w:hAnsi="Symbol" w:cs="Symbol" w:hint="default"/>
      </w:rPr>
    </w:lvl>
    <w:lvl w:ilvl="5">
      <w:start w:val="1"/>
      <w:numFmt w:val="bullet"/>
      <w:lvlText w:val=""/>
      <w:lvlJc w:val="left"/>
      <w:pPr>
        <w:tabs>
          <w:tab w:val="num" w:pos="0"/>
        </w:tabs>
        <w:ind w:left="5703" w:hanging="720"/>
      </w:pPr>
      <w:rPr>
        <w:rFonts w:ascii="Symbol" w:hAnsi="Symbol" w:cs="Symbol" w:hint="default"/>
      </w:rPr>
    </w:lvl>
    <w:lvl w:ilvl="6">
      <w:start w:val="1"/>
      <w:numFmt w:val="bullet"/>
      <w:lvlText w:val=""/>
      <w:lvlJc w:val="left"/>
      <w:pPr>
        <w:tabs>
          <w:tab w:val="num" w:pos="0"/>
        </w:tabs>
        <w:ind w:left="6703" w:hanging="720"/>
      </w:pPr>
      <w:rPr>
        <w:rFonts w:ascii="Symbol" w:hAnsi="Symbol" w:cs="Symbol" w:hint="default"/>
      </w:rPr>
    </w:lvl>
    <w:lvl w:ilvl="7">
      <w:start w:val="1"/>
      <w:numFmt w:val="bullet"/>
      <w:lvlText w:val=""/>
      <w:lvlJc w:val="left"/>
      <w:pPr>
        <w:tabs>
          <w:tab w:val="num" w:pos="0"/>
        </w:tabs>
        <w:ind w:left="7704" w:hanging="720"/>
      </w:pPr>
      <w:rPr>
        <w:rFonts w:ascii="Symbol" w:hAnsi="Symbol" w:cs="Symbol" w:hint="default"/>
      </w:rPr>
    </w:lvl>
    <w:lvl w:ilvl="8">
      <w:start w:val="1"/>
      <w:numFmt w:val="bullet"/>
      <w:lvlText w:val=""/>
      <w:lvlJc w:val="left"/>
      <w:pPr>
        <w:tabs>
          <w:tab w:val="num" w:pos="0"/>
        </w:tabs>
        <w:ind w:left="8705" w:hanging="72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ListParagraph">
    <w:name w:val="List Paragraph"/>
    <w:basedOn w:val="Normal"/>
    <w:qFormat/>
    <w:pPr>
      <w:widowControl w:val="false"/>
      <w:spacing w:lineRule="auto" w:line="240" w:before="0" w:after="0"/>
      <w:ind w:left="692" w:firstLine="720"/>
      <w:jc w:val="both"/>
    </w:pPr>
    <w:rPr>
      <w:rFonts w:ascii="Times New Roman" w:hAnsi="Times New Roman" w:eastAsia="Times New Roman" w:cs="Times New Roman"/>
      <w:lang w:val="ru-RU"/>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9506" TargetMode="External"/><Relationship Id="rId4" Type="http://schemas.openxmlformats.org/officeDocument/2006/relationships/hyperlink" Target="https://m.edsoo.ru/7f419506" TargetMode="External"/><Relationship Id="rId5" Type="http://schemas.openxmlformats.org/officeDocument/2006/relationships/hyperlink" Target="https://m.edsoo.ru/7f419506" TargetMode="External"/><Relationship Id="rId6" Type="http://schemas.openxmlformats.org/officeDocument/2006/relationships/hyperlink" Target="https://m.edsoo.ru/7f419506" TargetMode="External"/><Relationship Id="rId7" Type="http://schemas.openxmlformats.org/officeDocument/2006/relationships/hyperlink" Target="https://m.edsoo.ru/7f419506" TargetMode="External"/><Relationship Id="rId8" Type="http://schemas.openxmlformats.org/officeDocument/2006/relationships/hyperlink" Target="https://m.edsoo.ru/7f419506" TargetMode="External"/><Relationship Id="rId9" Type="http://schemas.openxmlformats.org/officeDocument/2006/relationships/hyperlink" Target="https://m.edsoo.ru/7f419506" TargetMode="External"/><Relationship Id="rId10" Type="http://schemas.openxmlformats.org/officeDocument/2006/relationships/hyperlink" Target="https://m.edsoo.ru/7f419506" TargetMode="External"/><Relationship Id="rId11" Type="http://schemas.openxmlformats.org/officeDocument/2006/relationships/hyperlink" Target="https://m.edsoo.ru/7f419506" TargetMode="External"/><Relationship Id="rId12" Type="http://schemas.openxmlformats.org/officeDocument/2006/relationships/hyperlink" Target="https://m.edsoo.ru/7f41b590" TargetMode="External"/><Relationship Id="rId13" Type="http://schemas.openxmlformats.org/officeDocument/2006/relationships/hyperlink" Target="https://m.edsoo.ru/7f41b590" TargetMode="External"/><Relationship Id="rId14" Type="http://schemas.openxmlformats.org/officeDocument/2006/relationships/hyperlink" Target="https://m.edsoo.ru/7f41b590" TargetMode="External"/><Relationship Id="rId15" Type="http://schemas.openxmlformats.org/officeDocument/2006/relationships/hyperlink" Target="https://m.edsoo.ru/7f41b590" TargetMode="External"/><Relationship Id="rId16" Type="http://schemas.openxmlformats.org/officeDocument/2006/relationships/hyperlink" Target="https://m.edsoo.ru/7f41b590" TargetMode="External"/><Relationship Id="rId17" Type="http://schemas.openxmlformats.org/officeDocument/2006/relationships/hyperlink" Target="https://m.edsoo.ru/7f41b590" TargetMode="External"/><Relationship Id="rId18" Type="http://schemas.openxmlformats.org/officeDocument/2006/relationships/hyperlink" Target="https://m.edsoo.ru/7f41b590" TargetMode="External"/><Relationship Id="rId19" Type="http://schemas.openxmlformats.org/officeDocument/2006/relationships/hyperlink" Target="https://m.edsoo.ru/7f41b590" TargetMode="External"/><Relationship Id="rId20" Type="http://schemas.openxmlformats.org/officeDocument/2006/relationships/hyperlink" Target="https://m.edsoo.ru/7f41b590" TargetMode="External"/><Relationship Id="rId21" Type="http://schemas.openxmlformats.org/officeDocument/2006/relationships/hyperlink" Target="https://m.edsoo.ru/f5eac5d4" TargetMode="External"/><Relationship Id="rId22" Type="http://schemas.openxmlformats.org/officeDocument/2006/relationships/hyperlink" Target="https://m.edsoo.ru/f5eac746" TargetMode="External"/><Relationship Id="rId23" Type="http://schemas.openxmlformats.org/officeDocument/2006/relationships/hyperlink" Target="https://m.edsoo.ru/f5eac8c2" TargetMode="External"/><Relationship Id="rId24" Type="http://schemas.openxmlformats.org/officeDocument/2006/relationships/hyperlink" Target="https://m.edsoo.ru/f5eacc82" TargetMode="External"/><Relationship Id="rId25" Type="http://schemas.openxmlformats.org/officeDocument/2006/relationships/hyperlink" Target="https://m.edsoo.ru/f5eacdf4" TargetMode="External"/><Relationship Id="rId26" Type="http://schemas.openxmlformats.org/officeDocument/2006/relationships/hyperlink" Target="https://m.edsoo.ru/f5eacf84" TargetMode="External"/><Relationship Id="rId27" Type="http://schemas.openxmlformats.org/officeDocument/2006/relationships/hyperlink" Target="https://m.edsoo.ru/f5ead51a" TargetMode="External"/><Relationship Id="rId28" Type="http://schemas.openxmlformats.org/officeDocument/2006/relationships/hyperlink" Target="https://m.edsoo.ru/f5ead68c" TargetMode="External"/><Relationship Id="rId29" Type="http://schemas.openxmlformats.org/officeDocument/2006/relationships/hyperlink" Target="https://m.edsoo.ru/f5eaefa0" TargetMode="External"/><Relationship Id="rId30" Type="http://schemas.openxmlformats.org/officeDocument/2006/relationships/hyperlink" Target="https://m.edsoo.ru/f5eaf78e" TargetMode="External"/><Relationship Id="rId31" Type="http://schemas.openxmlformats.org/officeDocument/2006/relationships/hyperlink" Target="https://m.edsoo.ru/f5eaf946" TargetMode="External"/><Relationship Id="rId32" Type="http://schemas.openxmlformats.org/officeDocument/2006/relationships/hyperlink" Target="https://m.edsoo.ru/f5eb038c" TargetMode="External"/><Relationship Id="rId33" Type="http://schemas.openxmlformats.org/officeDocument/2006/relationships/hyperlink" Target="https://m.edsoo.ru/f5eb06f2" TargetMode="External"/><Relationship Id="rId34" Type="http://schemas.openxmlformats.org/officeDocument/2006/relationships/hyperlink" Target="https://m.edsoo.ru/f5eb0a76" TargetMode="External"/><Relationship Id="rId35" Type="http://schemas.openxmlformats.org/officeDocument/2006/relationships/hyperlink" Target="https://m.edsoo.ru/f5eb0d96" TargetMode="External"/><Relationship Id="rId36" Type="http://schemas.openxmlformats.org/officeDocument/2006/relationships/hyperlink" Target="https://m.edsoo.ru/f5eb14e4" TargetMode="External"/><Relationship Id="rId37" Type="http://schemas.openxmlformats.org/officeDocument/2006/relationships/hyperlink" Target="https://m.edsoo.ru/f5eb1da4" TargetMode="External"/><Relationship Id="rId38" Type="http://schemas.openxmlformats.org/officeDocument/2006/relationships/hyperlink" Target="https://m.edsoo.ru/f5eb279a" TargetMode="External"/><Relationship Id="rId39" Type="http://schemas.openxmlformats.org/officeDocument/2006/relationships/hyperlink" Target="https://m.edsoo.ru/f5eb2c0e" TargetMode="External"/><Relationship Id="rId40" Type="http://schemas.openxmlformats.org/officeDocument/2006/relationships/hyperlink" Target="https://m.edsoo.ru/f5eb2d94" TargetMode="External"/><Relationship Id="rId41" Type="http://schemas.openxmlformats.org/officeDocument/2006/relationships/hyperlink" Target="https://m.edsoo.ru/f5eb3384" TargetMode="External"/><Relationship Id="rId42" Type="http://schemas.openxmlformats.org/officeDocument/2006/relationships/hyperlink" Target="https://m.edsoo.ru/f5eacc82" TargetMode="External"/><Relationship Id="rId43" Type="http://schemas.openxmlformats.org/officeDocument/2006/relationships/hyperlink" Target="https://m.edsoo.ru/f5eb37ee" TargetMode="External"/><Relationship Id="rId44" Type="http://schemas.openxmlformats.org/officeDocument/2006/relationships/hyperlink" Target="https://m.edsoo.ru/f5eb3ca8" TargetMode="External"/><Relationship Id="rId45" Type="http://schemas.openxmlformats.org/officeDocument/2006/relationships/hyperlink" Target="https://m.edsoo.ru/f5eb3f82" TargetMode="External"/><Relationship Id="rId46" Type="http://schemas.openxmlformats.org/officeDocument/2006/relationships/hyperlink" Target="https://m.edsoo.ru/f5eb4568" TargetMode="External"/><Relationship Id="rId47" Type="http://schemas.openxmlformats.org/officeDocument/2006/relationships/hyperlink" Target="https://m.edsoo.ru/f5eb46da" TargetMode="External"/><Relationship Id="rId48" Type="http://schemas.openxmlformats.org/officeDocument/2006/relationships/hyperlink" Target="https://m.edsoo.ru/f5eb4842" TargetMode="External"/><Relationship Id="rId49" Type="http://schemas.openxmlformats.org/officeDocument/2006/relationships/hyperlink" Target="https://m.edsoo.ru/f5eb6192" TargetMode="External"/><Relationship Id="rId50" Type="http://schemas.openxmlformats.org/officeDocument/2006/relationships/hyperlink" Target="https://m.edsoo.ru/f5eaf78e" TargetMode="External"/><Relationship Id="rId51" Type="http://schemas.openxmlformats.org/officeDocument/2006/relationships/hyperlink" Target="https://m.edsoo.ru/f5eaf946" TargetMode="External"/><Relationship Id="rId52" Type="http://schemas.openxmlformats.org/officeDocument/2006/relationships/hyperlink" Target="https://m.edsoo.ru/f5eafef0" TargetMode="External"/><Relationship Id="rId53" Type="http://schemas.openxmlformats.org/officeDocument/2006/relationships/hyperlink" Target="https://m.edsoo.ru/f5eafd42" TargetMode="External"/><Relationship Id="rId54" Type="http://schemas.openxmlformats.org/officeDocument/2006/relationships/hyperlink" Target="https://m.edsoo.ru/f5eb0210" TargetMode="External"/><Relationship Id="rId55" Type="http://schemas.openxmlformats.org/officeDocument/2006/relationships/hyperlink" Target="https://m.edsoo.ru/f5eb0c10" TargetMode="External"/><Relationship Id="rId56" Type="http://schemas.openxmlformats.org/officeDocument/2006/relationships/hyperlink" Target="https://m.edsoo.ru/f5eb0c10" TargetMode="External"/><Relationship Id="rId57" Type="http://schemas.openxmlformats.org/officeDocument/2006/relationships/hyperlink" Target="https://m.edsoo.ru/f5eb14e4" TargetMode="External"/><Relationship Id="rId58" Type="http://schemas.openxmlformats.org/officeDocument/2006/relationships/hyperlink" Target="https://m.edsoo.ru/f5eb0efe" TargetMode="External"/><Relationship Id="rId59" Type="http://schemas.openxmlformats.org/officeDocument/2006/relationships/hyperlink" Target="https://m.edsoo.ru/f5eb1ac0" TargetMode="External"/><Relationship Id="rId60" Type="http://schemas.openxmlformats.org/officeDocument/2006/relationships/hyperlink" Target="https://m.edsoo.ru/f5eb1da4" TargetMode="External"/><Relationship Id="rId61" Type="http://schemas.openxmlformats.org/officeDocument/2006/relationships/hyperlink" Target="https://m.edsoo.ru/f5eb209c" TargetMode="External"/><Relationship Id="rId62" Type="http://schemas.openxmlformats.org/officeDocument/2006/relationships/hyperlink" Target="https://m.edsoo.ru/f5eb222c" TargetMode="External"/><Relationship Id="rId63" Type="http://schemas.openxmlformats.org/officeDocument/2006/relationships/hyperlink" Target="https://m.edsoo.ru/f5eb23a8" TargetMode="External"/><Relationship Id="rId64" Type="http://schemas.openxmlformats.org/officeDocument/2006/relationships/hyperlink" Target="https://m.edsoo.ru/f5eb3078" TargetMode="External"/><Relationship Id="rId65" Type="http://schemas.openxmlformats.org/officeDocument/2006/relationships/hyperlink" Target="https://m.edsoo.ru/f5eb350a" TargetMode="External"/><Relationship Id="rId66" Type="http://schemas.openxmlformats.org/officeDocument/2006/relationships/hyperlink" Target="https://m.edsoo.ru/f5eb367c" TargetMode="External"/><Relationship Id="rId67" Type="http://schemas.openxmlformats.org/officeDocument/2006/relationships/hyperlink" Target="https://m.edsoo.ru/f5eb3ca8" TargetMode="External"/><Relationship Id="rId68" Type="http://schemas.openxmlformats.org/officeDocument/2006/relationships/hyperlink" Target="https://m.edsoo.ru/f5eb425c" TargetMode="External"/><Relationship Id="rId69" Type="http://schemas.openxmlformats.org/officeDocument/2006/relationships/hyperlink" Target="https://m.edsoo.ru/f5eb40ea" TargetMode="External"/><Relationship Id="rId70" Type="http://schemas.openxmlformats.org/officeDocument/2006/relationships/hyperlink" Target="https://m.edsoo.ru/f5eb4568" TargetMode="External"/><Relationship Id="rId71" Type="http://schemas.openxmlformats.org/officeDocument/2006/relationships/hyperlink" Target="https://m.edsoo.ru/f5eb4842" TargetMode="External"/><Relationship Id="rId72" Type="http://schemas.openxmlformats.org/officeDocument/2006/relationships/hyperlink" Target="https://m.edsoo.ru/f5eb46da" TargetMode="External"/><Relationship Id="rId73" Type="http://schemas.openxmlformats.org/officeDocument/2006/relationships/hyperlink" Target="https://m.edsoo.ru/f5eb4d4c" TargetMode="External"/><Relationship Id="rId74" Type="http://schemas.openxmlformats.org/officeDocument/2006/relationships/hyperlink" Target="https://m.edsoo.ru/f5eb6192" TargetMode="External"/><Relationship Id="rId75" Type="http://schemas.openxmlformats.org/officeDocument/2006/relationships/hyperlink" Target="https://m.edsoo.ru/f5eb644e" TargetMode="External"/><Relationship Id="rId76" Type="http://schemas.openxmlformats.org/officeDocument/2006/relationships/hyperlink" Target="https://m.edsoo.ru/f5eb65c0" TargetMode="External"/><Relationship Id="rId77" Type="http://schemas.openxmlformats.org/officeDocument/2006/relationships/numbering" Target="numbering.xml"/><Relationship Id="rId78" Type="http://schemas.openxmlformats.org/officeDocument/2006/relationships/fontTable" Target="fontTable.xml"/><Relationship Id="rId7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LibreOffice/7.0.1.2$Windows_X86_64 LibreOffice_project/7cbcfc562f6eb6708b5ff7d7397325de9e764452</Application>
  <Pages>36</Pages>
  <Words>7156</Words>
  <Characters>54151</Characters>
  <CharactersWithSpaces>60630</CharactersWithSpaces>
  <Paragraphs>783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2023-09-05T12:57:55Z</dcterms:modified>
  <cp:revision>3</cp:revision>
  <dc:subject/>
  <dc:title/>
</cp:coreProperties>
</file>