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78905" cy="89128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891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секции "Волейбол" относится к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физкультурно-спортивной направленности.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процессе освоения программы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  участвовать в соревнованиях по волейболу различного масштаба.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рассчитана  на 1 час в неделю.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Цели и задачи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Цель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программы – углублённое изучение спортивной игры волейбол.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Основными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задачами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программы являются: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укрепление здоровья;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содействие правильному физическому развитию;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приобретение необходимых теоретических знаний;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овладение основными приемами техники и тактики игры;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привитие ученикам организаторских навыков;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повышение специальной, физической, тактической подготовки школьников по волейболу;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подготовка учащихся к соревнованиям по волейболу;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1418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отбор лучших учащихся для ДЮСШ.</w:t>
      </w:r>
    </w:p>
    <w:p>
      <w:pPr>
        <w:pStyle w:val="Normal"/>
        <w:shd w:val="clear" w:color="auto" w:fill="FFFFFF"/>
        <w:spacing w:lineRule="auto" w:line="240" w:before="0" w:after="0"/>
        <w:ind w:left="720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720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Содержание программы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>
      <w:pPr>
        <w:pStyle w:val="Normal"/>
        <w:shd w:val="clear" w:color="auto" w:fill="FFFFFF"/>
        <w:spacing w:lineRule="auto" w:line="240" w:before="0" w:after="0"/>
        <w:ind w:lef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разделе «Основы знаний» представлен материал по истории развития волейбола, правила соревнований.</w:t>
      </w:r>
    </w:p>
    <w:p>
      <w:pPr>
        <w:pStyle w:val="Normal"/>
        <w:shd w:val="clear" w:color="auto" w:fill="FFFFFF"/>
        <w:spacing w:lineRule="auto" w:line="240" w:before="0" w:after="0"/>
        <w:ind w:lef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разделе «Техника и тактика игры» представлен материал, способствующий обучению техническим и тактическим приемам игры.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конце обучения по программе учащиеся должны знать правила игры и принимать участие в соревнованиях.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Теория (1 час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История возникновения волейбола. Развитие волейбола. Правила игры в мини-волейбол.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Техническая подготовка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(21 час).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Овладение техникой передвижения и стоек.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Стойка игрока(исходные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Овладение техникой приема и передач мяча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 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Овладение техникой подачи: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нижняя прямая подача; через сетку; подача в стенку, через сетку с расстояния 9 м; подача через сетку из-за лицевой линии; подача нижняя боковая.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Нападающие удары.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Прямой нападающий удар сильнейшей рукой ( овладение режимом разбега, прыжок вверх толчком двух ног: с места, с 1, 2, 3 шагов разбега, удар кистью по мячу ).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Овладение техникой подачи.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Нижняя прямая подача 3-6 м. нижняя прямая подача. Нижняя прямая подача, прием мяча, отраженного сеткой.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Тактическая подготовка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(10 часов)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Индивидуальные действия: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выбор места для выполнения нижней подачи; выбор места для второй передачи и в зоне 3.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Групповые действия.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Взаимодействие игроков передней линии: игрока зоны 4 с игроком зоны 3, игрока зоны 2 с игроком зоны 3 ( при первой передаче ). Взаимодействие игроков зон 6, 5 и 1 с игроком зоны 3.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Командные действия.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Прием нижней подачи и первая передача в зону 3, вторая передача игроку, к которому передающий обращен лицом.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Тактика защиты.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Выбор места при приеме нижней подачи. Расположение игроков при приеме подачи, когда вторую передачу выполняет игрок зоны 3.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Общефизическая подготовка (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каждом занятии)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Гимнастические упражнения.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Упражнения без предметов: для мышц рук и плечевого .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Легкоатлетические упражнения.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Бег с ускорением  до 30 м. Прыжки : с места в длину, вверх. Прыжки с разбега в длину и высоту.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Соревнования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(2 часа)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Система, формы контроля уровня достижений учащихся и критерии оценки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год(декабрь, май), учащиеся выполняют контрольные нормативы.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Контрольные испытания.</w:t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общефизическая подготовка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Бег 30 м 6х5м . на расстоянии 5 м чертятся две линии – стартовая и контрольная. По зрительному сигналу учащийся бежит. Преодолевая 5 м шесть раз. При изменении движения  в обратном направлении обе ноги испытуемого должны пересечь линию.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Прыжок в длину с места.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Замер делается от контрольной линии до ближайшего к ней следа при приземлении. Из трех попыток берется лучший результат.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Техническая подготовка.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Испытание на точность передачи.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Устанавливаются ограничители расстояния и высоты передачи. Каждый учащийся выполняет 5 попыток.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Испытание на точность передачи через сетку.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Испытания на точность подач.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Испытания на точность нападающего удара.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Испытания в защитных действиях. 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Тактическая подготовка.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мяча(по заданию). Дается 10 попыток. Учитывается количество правильных попыток и качество приема. 2) выбор способа действия: прием мяча от нападающего удара или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>
      <w:pPr>
        <w:pStyle w:val="Normal"/>
        <w:shd w:val="clear" w:color="auto" w:fill="FFFFFF"/>
        <w:spacing w:lineRule="auto" w:line="240" w:before="0" w:after="0"/>
        <w:ind w:right="1133" w:firstLine="85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1133" w:firstLine="85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 (34 часа)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974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"/>
        <w:gridCol w:w="4335"/>
        <w:gridCol w:w="4933"/>
      </w:tblGrid>
      <w:tr>
        <w:trPr>
          <w:trHeight w:val="410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0" w:name="7d6f07a24659c242909537ecc4c567d856818784"/>
            <w:bookmarkStart w:id="1" w:name="0"/>
            <w:bookmarkEnd w:id="0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3172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>
        <w:trPr>
          <w:trHeight w:val="410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410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Специальная подготовка техническая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>
        <w:trPr>
          <w:trHeight w:val="410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Специальная подготовка тактическая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>
          <w:trHeight w:val="410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каждом занятии</w:t>
            </w:r>
          </w:p>
        </w:tc>
      </w:tr>
      <w:tr>
        <w:trPr>
          <w:trHeight w:val="430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0" w:before="0" w:after="0"/>
              <w:ind w:right="-284" w:hanging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C2"/>
        <w:shd w:val="clear" w:color="auto" w:fill="FFFFFF"/>
        <w:spacing w:beforeAutospacing="0" w:before="0" w:afterAutospacing="0" w:after="0"/>
        <w:jc w:val="center"/>
        <w:rPr>
          <w:rFonts w:ascii="Calibri" w:hAnsi="Calibri"/>
          <w:color w:val="000000"/>
        </w:rPr>
      </w:pPr>
      <w:r>
        <w:rPr>
          <w:rStyle w:val="C14"/>
          <w:b/>
          <w:bCs/>
          <w:color w:val="000000"/>
        </w:rPr>
        <w:t>3. Планируемые  результаты освоения программы</w:t>
      </w:r>
    </w:p>
    <w:p>
      <w:pPr>
        <w:pStyle w:val="C2"/>
        <w:shd w:val="clear" w:color="auto" w:fill="FFFFFF"/>
        <w:spacing w:beforeAutospacing="0" w:before="0" w:afterAutospacing="0" w:after="0"/>
        <w:ind w:firstLine="720"/>
        <w:rPr>
          <w:rFonts w:ascii="Calibri" w:hAnsi="Calibri"/>
          <w:color w:val="000000"/>
        </w:rPr>
      </w:pPr>
      <w:r>
        <w:rPr>
          <w:rStyle w:val="C14"/>
          <w:color w:val="000000"/>
        </w:rPr>
        <w:t>Результаты освоения программного материала оцениваются по трём базовым уровням и представлены соответственно личностными, метапредметными  и предметными результатами.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b/>
          <w:bCs/>
          <w:color w:val="000000"/>
        </w:rPr>
        <w:t>Личностные результаты: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 дисциплинированность, трудолюбие, упорство в достижении поставленных целей;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-умение управлять своими эмоциями в различных ситуациях;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-умение оказывать помощь своим сверстникам.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b/>
          <w:bCs/>
          <w:color w:val="000000"/>
        </w:rPr>
        <w:t>Метапредметные результаты: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-определять наиболее эффективные способы достижения результата;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-умение находить ошибки при выполнении заданий и уметь их исправлять;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-умение объективно оценивать результаты собственного труда, находить возможности и способы их улучшения.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b/>
          <w:bCs/>
          <w:color w:val="000000"/>
        </w:rPr>
        <w:t>Предметные результаты: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-формирование знаний о волейболе и его роли в укреплении здоровья;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 умение рационально распределять своё время в режиме дня, выполнять утреннюю зарядку;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- умение вести наблюдение за показателями своего физического развития</w:t>
      </w:r>
    </w:p>
    <w:p>
      <w:pPr>
        <w:pStyle w:val="C2"/>
        <w:shd w:val="clear" w:color="auto" w:fill="FFFFFF"/>
        <w:spacing w:beforeAutospacing="0" w:before="0" w:afterAutospacing="0" w:after="0"/>
        <w:ind w:firstLine="720"/>
        <w:rPr>
          <w:rFonts w:ascii="Calibri" w:hAnsi="Calibri"/>
          <w:color w:val="000000"/>
        </w:rPr>
      </w:pPr>
      <w:r>
        <w:rPr>
          <w:rStyle w:val="C14"/>
          <w:color w:val="000000"/>
        </w:rPr>
        <w:t>Данная программа  делает  акцент на формирование у учащихся культуры здоровья и предполагает: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>
      <w:pPr>
        <w:pStyle w:val="C2"/>
        <w:shd w:val="clear" w:color="auto" w:fill="FFFFFF"/>
        <w:spacing w:beforeAutospacing="0" w:before="0" w:afterAutospacing="0" w:after="0"/>
        <w:rPr>
          <w:rFonts w:ascii="Calibri" w:hAnsi="Calibri"/>
          <w:color w:val="000000"/>
        </w:rPr>
      </w:pPr>
      <w:r>
        <w:rPr>
          <w:rStyle w:val="C14"/>
          <w:color w:val="000000"/>
        </w:rPr>
        <w:t>стремление индивида вовлечь в занятия волейболом  свое ближайшее окружение (семью, друзей, коллег и т.д.).</w:t>
      </w:r>
    </w:p>
    <w:p>
      <w:pPr>
        <w:pStyle w:val="C2"/>
        <w:shd w:val="clear" w:color="auto" w:fill="FFFFFF"/>
        <w:spacing w:beforeAutospacing="0" w:before="0" w:afterAutospacing="0" w:after="0"/>
        <w:rPr>
          <w:rStyle w:val="C14"/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240" w:before="0" w:after="13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Тематическое планирование</w:t>
      </w:r>
    </w:p>
    <w:tbl>
      <w:tblPr>
        <w:tblW w:w="10042" w:type="dxa"/>
        <w:jc w:val="left"/>
        <w:tblInd w:w="10" w:type="dxa"/>
        <w:tblLayout w:type="fixed"/>
        <w:tblCellMar>
          <w:top w:w="0" w:type="dxa"/>
          <w:left w:w="115" w:type="dxa"/>
          <w:bottom w:w="0" w:type="dxa"/>
          <w:right w:w="0" w:type="dxa"/>
        </w:tblCellMar>
        <w:tblLook w:val="04a0"/>
      </w:tblPr>
      <w:tblGrid>
        <w:gridCol w:w="1275"/>
        <w:gridCol w:w="727"/>
        <w:gridCol w:w="5789"/>
        <w:gridCol w:w="1088"/>
        <w:gridCol w:w="1163"/>
      </w:tblGrid>
      <w:tr>
        <w:trPr/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>
        <w:trPr>
          <w:trHeight w:val="217" w:hRule="atLeast"/>
        </w:trPr>
        <w:tc>
          <w:tcPr>
            <w:tcW w:w="12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2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8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Факт.</w:t>
            </w:r>
          </w:p>
        </w:tc>
      </w:tr>
      <w:tr>
        <w:trPr>
          <w:trHeight w:val="675" w:hRule="atLeast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1.Техника безопасности на занятиях по спортивным играм.</w:t>
            </w:r>
          </w:p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Перемещения и стойка волейболиста.</w:t>
            </w:r>
          </w:p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З. Передача мяча двумя руками сверху.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ОФП. 2. Перемещения и стойка волейболиста. З. Передача мяча двумя руками сверху. 4.Подвижные игры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Развитие быстроты перемещения.2. Прием и передача мяча снизу двумя руками. Подвижные игры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ОФП. 2.Передеача мяча сверху двумя руками в средней и низкой стойках и после перемещения. 3.Подвижные игры и эстафеты.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Передача и прием мяча сверху двумя руками после перемещений.   2. Техника приема и передачи мяча снизу двумя руками. Подвижные игры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1.ОФП. 2. Прием и передача мяча двумя руками снизу. 3. Ознакомление с основными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правилами игры в волейбол.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Совершенствование навыков приема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передачи мяча сверху и снизу двумя руками. 2. СФП. Подвижные игры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Развитие быстроты и прыгучести. 2. Совершенствование навыков приема и передачи мяча сверху и снизу двумя руками. З. 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Развитие быстроты и прыгучести. 2. Совершенствование навыков приема и передачи мяча сверху двумя руками. З. 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Физическая подготовка. 2. Совершенствование навыков приема и передачи мяча сверху и снизу двумя руками. З..Подвижные игры с элементами волейбола.</w:t>
            </w:r>
          </w:p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Развитие быстроты и прыгучести 2. Совершенствование навыков приема и передачи мяча сверху и снизу двумя руками. З. Нижняя прямая подача.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Физическая подготовка. 2. Совершенствование навыков приема и передачи мяча сверху и снизу двумя руками. З. Совершенствование навыков нижней прямой подачи мяча.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Нижняя прямая подача. 2. Развитие специальной ловкости и тренировка управления мячом. 3.Введение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Нижняя прямая подача мяча. 2.Передачи мяча сверху двумя руками, над собой – на месте и после перемещения различными способами. 3. 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Нижняя прямая подача мяча. 2.Передачи мяча сверху двумя руками, над собой – на месте и после перемещения различными способами. 3Подвижные игры и эстафеты.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1.Передачи мяча сверху двумя руками и снизу двумя руками в различных сочетаниях. 2.Нижняя прямая подача. 3.ОФП.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1.Передача мяча двумя руками сверху на месте через сетку. 2.Нижняя прямая подача. 3.Игра «Пионербол»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1.Передача мяча над собой. 2.Передача мяча двумя сверху у стены. 3. Игра «Пионербол»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1.Передачи мяча сверху двумя руками, над собой – на месте и после перемещения различными способами. 2. Введение в начальные игровые ситуации. 3.Игра «Пионербол»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1.Передача мяча двумя руками сверху через сетку с перемещением. 2.Нижняя прямая подача. 3. Игра «Пионербол» с элементами волейбола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1.Передача мяча двумя сверху у стены. Нижняя прямая подача. Игра «Пионербол»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1.Передача мяча двумя руками сверху и снизу через сетку с перемещением. 2. Нижняя прямая подача. 3.Игра «Пионербол» с элементами волейбола.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Передачи мяча сверху и снизу двумя руками в разные зоны соперника. 2.Прием подачи. 3.Введение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Передачи мяча сверху и снизу двумя руками в разные зоны соперника. 2.Прием подачи. 3.Введение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Передачи мяча сверху и снизу двумя руками в разные зоны соперника. 2.Прием подачи. 3.Введение в начальные игровые ситуации.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1.Прием и передача мяча.</w:t>
            </w:r>
          </w:p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2.Нижняя прямая подача по указанным зонам.</w:t>
            </w:r>
          </w:p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3.ОФП.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1.Прием и передача мяча. 2.Нижняя прямая подача по указанным зонам. 3.Эстафеты.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1.Развитие силовой выносливости. 2.Прием и передача мяча. 3.Нижняя прямая подача по указанным зонам.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1.Развитие скорости 2.Прием и передача мяча. 3.Нижняя прямая подача по указанным зонам.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1.Общая и специальная подготовка. 2.Прием подачи. 3.Нижняя прямая подача по указанным зонам.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Обучение защитным действиям. 2. Совершенствование навыков нижней подачи. 3.Учебная игра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1.Защитные действия. 2. Подводящие упражнения для нападающих действий. 3.Учебная игра.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Прямой нападающий удар после подбрасывания мяча. 2. Совершенствование навыков приема мяча снизу и сверху с падением. З. Изучение индивидуальных тактических действий в защите.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Развитие прыгучести. 2.Прямой нападающий удар после подбрасывания мяча. 3.Совершенствование навыков приема мяча снизу и сверху с падением.</w:t>
            </w:r>
          </w:p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right w:w="115" w:type="dxa"/>
            </w:tcMar>
          </w:tcPr>
          <w:p>
            <w:pPr>
              <w:pStyle w:val="Normal"/>
              <w:widowControl w:val="false"/>
              <w:spacing w:lineRule="auto" w:line="240" w:before="0" w:after="1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beforeAutospacing="0" w:before="0" w:afterAutospacing="0" w:after="0"/>
        <w:ind w:firstLine="851"/>
        <w:jc w:val="both"/>
        <w:rPr>
          <w:rStyle w:val="C14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Методы и формы обучения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1 часу в неделю.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Словесные методы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 создают у учащихся предварительные представления об изучаемом движении. Для этой цели учитель использует: объяснение, рассказ, замечания, команды, указания.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Наглядные методы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>
      <w:pPr>
        <w:pStyle w:val="Normal"/>
        <w:shd w:val="clear" w:color="auto" w:fill="FFFFFF"/>
        <w:spacing w:lineRule="auto" w:line="240" w:before="0" w:after="0"/>
        <w:ind w:left="-284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Практические методы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left="436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метод упражнений;</w:t>
      </w:r>
    </w:p>
    <w:p>
      <w:pPr>
        <w:pStyle w:val="Normal"/>
        <w:shd w:val="clear" w:color="auto" w:fill="FFFFFF"/>
        <w:spacing w:lineRule="auto" w:line="240" w:before="0" w:after="0"/>
        <w:ind w:left="436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игровой;</w:t>
      </w:r>
    </w:p>
    <w:p>
      <w:pPr>
        <w:pStyle w:val="Normal"/>
        <w:shd w:val="clear" w:color="auto" w:fill="FFFFFF"/>
        <w:spacing w:lineRule="auto" w:line="240" w:before="0" w:after="0"/>
        <w:ind w:left="436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соревновательный;</w:t>
      </w:r>
    </w:p>
    <w:p>
      <w:pPr>
        <w:pStyle w:val="Normal"/>
        <w:shd w:val="clear" w:color="auto" w:fill="FFFFFF"/>
        <w:spacing w:lineRule="auto" w:line="240" w:before="0" w:after="0"/>
        <w:ind w:left="436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круговой тренировки.</w:t>
      </w:r>
    </w:p>
    <w:p>
      <w:pPr>
        <w:pStyle w:val="Normal"/>
        <w:shd w:val="clear" w:color="auto" w:fill="FFFFFF"/>
        <w:spacing w:lineRule="auto" w:line="240" w:before="0" w:after="0"/>
        <w:ind w:left="-142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Главным из них является метод упражнений, который предусматривает многократные повторения движений.</w:t>
      </w:r>
    </w:p>
    <w:p>
      <w:pPr>
        <w:pStyle w:val="Normal"/>
        <w:shd w:val="clear" w:color="auto" w:fill="FFFFFF"/>
        <w:spacing w:lineRule="auto" w:line="240" w:before="0" w:after="0"/>
        <w:ind w:left="-142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Разучивание упражнений осуществляется двумя методами:</w:t>
      </w:r>
    </w:p>
    <w:p>
      <w:pPr>
        <w:pStyle w:val="Normal"/>
        <w:shd w:val="clear" w:color="auto" w:fill="FFFFFF"/>
        <w:spacing w:lineRule="auto" w:line="240" w:before="0" w:after="0"/>
        <w:ind w:left="796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целом;</w:t>
      </w:r>
    </w:p>
    <w:p>
      <w:pPr>
        <w:pStyle w:val="Normal"/>
        <w:shd w:val="clear" w:color="auto" w:fill="FFFFFF"/>
        <w:spacing w:lineRule="auto" w:line="240" w:before="0" w:after="0"/>
        <w:ind w:left="796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частям.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Игровой и соревновательный методы применяются после того, как у учащихся образовались некоторые навыки игры.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Формы обучения: индивидуальная, фронтальная, групповая, поточная.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6. Материально-техническое обеспечение занятий.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проведения занятий в школе должен быть зал: минимальные размеры 24*12м.</w:t>
      </w:r>
    </w:p>
    <w:p>
      <w:pPr>
        <w:pStyle w:val="Normal"/>
        <w:shd w:val="clear" w:color="auto" w:fill="FFFFFF"/>
        <w:spacing w:lineRule="auto" w:line="240" w:before="0" w:after="0"/>
        <w:ind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проведения занятий в секции волейбола необходимо иметь следующее оборудование и инвентарь: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сетка волейбольная- 2шт.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стойки волейбольные-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гимнастическая стенка- 1 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гимнастические маты-3шт.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скакалки- 5 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мячи набивные (масса 1кг)- 3шт.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мячи волейбольные – 2 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рулетка- 1шт.</w:t>
      </w:r>
    </w:p>
    <w:p>
      <w:pPr>
        <w:pStyle w:val="Normal"/>
        <w:shd w:val="clear" w:color="auto" w:fill="FFFFFF"/>
        <w:spacing w:lineRule="auto" w:line="240" w:before="0" w:after="0"/>
        <w:ind w:left="720" w:right="-284" w:firstLine="851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360" w:right="-284" w:firstLine="851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13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Список литературы</w:t>
      </w:r>
    </w:p>
    <w:p>
      <w:pPr>
        <w:pStyle w:val="NormalWeb"/>
        <w:shd w:val="clear" w:color="auto" w:fill="FFFFFF"/>
        <w:spacing w:beforeAutospacing="0" w:before="0" w:afterAutospacing="0" w:after="136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Внеурочная деятельность учащихся. Волейбол: пособие для учителей и методистов/Г.А.Колодиницкий, В.С. Кузнецов, М.В. Маслов. – М.: Просвещение, 2011. – 77с.: ил. – (Работаем по новым стандартам).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Волейбол в школе. Пособие для учителя/В.А. Голомазов, В.Д. Ковалёв, А.Г. Мельников. – М.: «Просвещение», 1976. 111с.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Примерные программы по учебным предметам. Физическая культура. 5–9 классы: проект. (Стандарты второго поколения). – 3-е изд. – М.: Просвещение, 2014. 61с.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Справочник учителя физической культуры/П.А. Киселёв, С.Б. Киселёва. – Волгоград: Учитель, 2011.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Фурманов А.Г., Болдырев Д.М. Волейбол. – М.: Физическая культура и спорт, 1983.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Холодов Ж.К., Кузнецов В.С. Теория и методика физического воспитания и спорта: учеб. пособие для студ. высш. учеб. заведений. – 2-е изд., испр. и доп. – М.: Академия, 2001.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36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Комплексная программа физического воспитания учащихся 1-11 классов, 2010г. Раздел 3. Х-Х1 классы. Часть1. п.1.4.2. Спортивные игры. Программный материал по спортивным играм (Х-Х1 классы). Волейбол (юноши и девушки). Часть111. Внеклассная работа. Спортивные секции. Волейбол. (Авторы программы: доктор педагогических наук В.И.Лях и кандидат педагогических наук А.А. Зданевич).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22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51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65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4" w:customStyle="1">
    <w:name w:val="c14"/>
    <w:basedOn w:val="DefaultParagraphFont"/>
    <w:qFormat/>
    <w:rsid w:val="00c12958"/>
    <w:rPr/>
  </w:style>
  <w:style w:type="character" w:styleId="Style14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Appleconvertedspace">
    <w:name w:val="apple-converted-space"/>
    <w:qFormat/>
    <w:rPr/>
  </w:style>
  <w:style w:type="character" w:styleId="C0">
    <w:name w:val="c0"/>
    <w:qFormat/>
    <w:rPr/>
  </w:style>
  <w:style w:type="character" w:styleId="1">
    <w:name w:val="Основной шрифт абзаца1"/>
    <w:qFormat/>
    <w:rPr/>
  </w:style>
  <w:style w:type="character" w:styleId="WW8Num34z1">
    <w:name w:val="WW8Num34z1"/>
    <w:qFormat/>
    <w:rPr>
      <w:rFonts w:ascii="Courier New" w:hAnsi="Courier New" w:eastAsia="Courier New"/>
    </w:rPr>
  </w:style>
  <w:style w:type="character" w:styleId="WW8Num33z1">
    <w:name w:val="WW8Num33z1"/>
    <w:qFormat/>
    <w:rPr>
      <w:b w:val="false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1">
    <w:name w:val="WW8Num29z1"/>
    <w:qFormat/>
    <w:rPr>
      <w:rFonts w:ascii="Courier New" w:hAnsi="Courier New" w:eastAsia="Courier New"/>
    </w:rPr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7z1">
    <w:name w:val="WW8Num27z1"/>
    <w:qFormat/>
    <w:rPr>
      <w:rFonts w:ascii="Courier New" w:hAnsi="Courier New" w:eastAsia="Courier New"/>
      <w:sz w:val="20"/>
    </w:rPr>
  </w:style>
  <w:style w:type="character" w:styleId="WW8Num27z0">
    <w:name w:val="WW8Num27z0"/>
    <w:qFormat/>
    <w:rPr>
      <w:sz w:val="20"/>
    </w:rPr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0z1">
    <w:name w:val="WW8Num20z1"/>
    <w:qFormat/>
    <w:rPr>
      <w:rFonts w:ascii="Courier New" w:hAnsi="Courier New" w:eastAsia="Courier New"/>
      <w:sz w:val="20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>
      <w:rFonts w:ascii="Courier New" w:hAnsi="Courier New" w:eastAsia="Courier New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b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rFonts w:ascii="Courier New" w:hAnsi="Courier New" w:eastAsia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Style15">
    <w:name w:val="Основной шрифт абзаца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8z1">
    <w:name w:val="WW8Num8z1"/>
    <w:qFormat/>
    <w:rPr>
      <w:rFonts w:ascii="Courier New" w:hAnsi="Courier New" w:eastAsia="Courier New"/>
      <w:sz w:val="20"/>
    </w:rPr>
  </w:style>
  <w:style w:type="character" w:styleId="WW8Num8z0">
    <w:name w:val="WW8Num8z0"/>
    <w:qFormat/>
    <w:rPr>
      <w:sz w:val="20"/>
    </w:rPr>
  </w:style>
  <w:style w:type="character" w:styleId="WW8Num6z0">
    <w:name w:val="WW8Num6z0"/>
    <w:qFormat/>
    <w:rPr/>
  </w:style>
  <w:style w:type="character" w:styleId="WW8Num5z0">
    <w:name w:val="WW8Num5z0"/>
    <w:qFormat/>
    <w:rPr>
      <w:rFonts w:ascii="Times New Roman" w:hAnsi="Times New Roman" w:eastAsia="Times New Roman"/>
      <w:b w:val="false"/>
      <w:bCs/>
      <w:i w:val="false"/>
      <w:caps w:val="false"/>
      <w:smallCaps w:val="false"/>
      <w:color w:val="auto"/>
      <w:spacing w:val="0"/>
      <w:sz w:val="24"/>
      <w:szCs w:val="24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4b65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12958"/>
    <w:pPr>
      <w:spacing w:before="0" w:after="200"/>
      <w:ind w:left="720" w:hanging="0"/>
      <w:contextualSpacing/>
    </w:pPr>
    <w:rPr/>
  </w:style>
  <w:style w:type="paragraph" w:styleId="C2" w:customStyle="1">
    <w:name w:val="c2"/>
    <w:basedOn w:val="Normal"/>
    <w:qFormat/>
    <w:rsid w:val="00c129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Обычный (веб)"/>
    <w:basedOn w:val="Normal"/>
    <w:qFormat/>
    <w:pPr>
      <w:spacing w:before="280" w:after="280"/>
    </w:pPr>
    <w:rPr>
      <w:rFonts w:eastAsia="SimSun"/>
      <w:lang w:eastAsia="ar-SA"/>
    </w:rPr>
  </w:style>
  <w:style w:type="paragraph" w:styleId="Style22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ar-SA"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ar-SA" w:bidi="ar-SA"/>
    </w:rPr>
  </w:style>
  <w:style w:type="paragraph" w:styleId="Style24">
    <w:name w:val="Новый"/>
    <w:basedOn w:val="Normal"/>
    <w:qFormat/>
    <w:pPr>
      <w:spacing w:lineRule="auto" w:line="360"/>
      <w:ind w:firstLine="454"/>
      <w:jc w:val="both"/>
    </w:pPr>
    <w:rPr>
      <w:sz w:val="28"/>
    </w:rPr>
  </w:style>
  <w:style w:type="paragraph" w:styleId="Style25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11">
    <w:name w:val="Указатель1"/>
    <w:basedOn w:val="Normal"/>
    <w:qFormat/>
    <w:pPr/>
    <w:rPr>
      <w:lang w:eastAsia="ar-SA"/>
    </w:rPr>
  </w:style>
  <w:style w:type="paragraph" w:styleId="Style26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9B4F-2DB9-41A7-B511-A4C457DA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LibreOffice/7.0.1.2$Windows_X86_64 LibreOffice_project/7cbcfc562f6eb6708b5ff7d7397325de9e764452</Application>
  <Pages>9</Pages>
  <Words>2257</Words>
  <Characters>14617</Characters>
  <CharactersWithSpaces>16646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dc:description/>
  <dc:language>ru-RU</dc:language>
  <cp:lastModifiedBy/>
  <dcterms:modified xsi:type="dcterms:W3CDTF">2023-09-18T08:27:07Z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