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AC" w:rsidRPr="00534DAC" w:rsidRDefault="00534DAC" w:rsidP="00534DA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534DA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от 31.07.2020 г № 373</w:t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УТВЕРЖДЕН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приказом Министерства просвещения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Российской Федерации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31 июля 2020 года N 373</w:t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Настоящий приказ вступает в силу с 1 января 2021 года.</w:t>
      </w:r>
      <w:bookmarkStart w:id="0" w:name="_GoBack"/>
      <w:bookmarkEnd w:id="0"/>
    </w:p>
    <w:p w:rsidR="00534DAC" w:rsidRPr="00534DAC" w:rsidRDefault="00534DAC" w:rsidP="00534DAC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color w:val="4C4C4C"/>
          <w:spacing w:val="2"/>
        </w:rPr>
      </w:pPr>
      <w:r w:rsidRPr="00534DAC">
        <w:rPr>
          <w:rFonts w:ascii="Times New Roman" w:hAnsi="Times New Roman" w:cs="Times New Roman"/>
          <w:b/>
          <w:bCs/>
          <w:color w:val="4C4C4C"/>
          <w:spacing w:val="2"/>
        </w:rPr>
        <w:t>I. Общие положения</w:t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3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color w:val="4C4C4C"/>
          <w:spacing w:val="2"/>
          <w:sz w:val="38"/>
          <w:szCs w:val="38"/>
        </w:rPr>
      </w:pPr>
      <w:r>
        <w:rPr>
          <w:rFonts w:ascii="Arial" w:hAnsi="Arial" w:cs="Arial"/>
          <w:b/>
          <w:bCs/>
          <w:color w:val="4C4C4C"/>
          <w:spacing w:val="2"/>
          <w:sz w:val="38"/>
          <w:szCs w:val="38"/>
        </w:rPr>
        <w:t>II. Организация и осуществление образовательной деятельности</w:t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4 статьи 63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 (Собрание законодательства Российской Федерации, 2012, N 53,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5 статьи 63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2 статьи 15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ст.7598; 2019, N 49, ст.696).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8. Содержание дошкольного образования определяется образовательной программой дошкольного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государственным образовательным стандартом дошкольного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5 статьи 12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6 статьи 12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5 статьи 14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2 статьи 64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Группы могут иметь общеразвивающую, компенсирующую, оздоровительную или комбинированную направленность.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образовательной организации могут быть организованы также: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направленность или осуществлять присмотр и уход за детьми без реализации образовательной программы дошкольного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3 статьи 64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3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color w:val="4C4C4C"/>
          <w:spacing w:val="2"/>
          <w:sz w:val="38"/>
          <w:szCs w:val="38"/>
        </w:rPr>
      </w:pPr>
      <w:r>
        <w:rPr>
          <w:rFonts w:ascii="Arial" w:hAnsi="Arial" w:cs="Arial"/>
          <w:b/>
          <w:bCs/>
          <w:color w:val="4C4C4C"/>
          <w:spacing w:val="2"/>
          <w:sz w:val="38"/>
          <w:szCs w:val="38"/>
        </w:rPr>
        <w:t>III. Особенности организации образовательной деятельности для лиц с ограниченными возможностями здоровья</w:t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абилитации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ребенка-инвалида.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 </w:t>
      </w:r>
      <w:hyperlink r:id="rId1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Пункт 21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(зарегистрирован Министерством юстиции Российской Федерации 23 октября 2013 г., регистрационный N 30242).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2 статьи 79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3 статьи 79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аудиофайлов;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для детей с ограниченными возможностями здоровья по слуху: обеспечение надлежащими звуковыми средствами воспроизведения информации;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4 статьи 79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Количество детей в группах компенсирующей направленности не должно превышать: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тяжелыми нарушениями речи - 6 детей в возрасте до 3 лет и 10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фонетико-фонематическими нарушениями речи - 12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глухих детей - 6 детей для обеих возрастных групп;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слабослышащих детей - 6 детей в возрасте до 3 лет и 8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слепых детей - 6 детей для обеих возрастных групп;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слабовидящих детей - 6 детей в возрасте до 3 лет и 10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для детей с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амблиопией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, косоглазием - 6 детей в возрасте до 3 лет и 10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нарушениями опорно-двигательного аппарата - 6 детей в возрасте до 3 лет и 8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для детей с задержкой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психоречевого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развития - 6 детей в возрасте до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задержкой психического развития - 10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умственной отсталостью легкой степени - 10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умственной отсталостью умеренной, тяжелой степени - 8 детей в возрасте старше 3 лет;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расстройствами аутистического спектра - 5 детей для обеих возрастных групп;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для детей со сложными дефектами (тяжелыми и множественными нарушениями развития) - 5 детей для обеих возрастных групп.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Количество детей в группах комбинированной направленности не должно превышать: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возрасте до 3 лет - не более 10 детей, в том числе не более 3 детей с ограниченными возможностями здоровья;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возрасте старше 3 лет: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не более 15 детей, в том числе не более 4 слабовидящих и (или) детей с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амблиопией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олигофренопедагог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сурдопедагог, тифлопедагог), учитель-логопед, педагог-психолог,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тьютор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, ассистент (помощник) на каждую группу: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для детей с нарушениями зрения (слепых, слабовидящих, с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амблиопией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косоглазием) - не менее 1 штатной единицы учителя-дефектолога (тифлопедагога), не менее 0,5 штатной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единицы учителя-логопеда, не менее 0,5 штатной единицы педагога-психолога;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олигофренопедагогога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) и/или педагога-психолога, не менее 0,5 штатной единицы учителя-логопеда;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задержкой психического развития - не менее 1 штатной единицы учителя-дефектолога 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олигофренопедагога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) и/или педагога-психолога, не менее 0,5 штатной единицы учителя-логопеда;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 умственной отсталостью - не менее 1 штатной единицы учителя-дефектолога 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олигофренопедагога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), не менее 0,5 штатной единицы учителя-логопеда и не менее 1 штатной единицы педагога-психолога;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тьютора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олигофренопедагог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сурдопедагог, тифлопедагог), учитель-логопед, педагог-психолог,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тьютор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, ассистент (помощник) из расчета 1 штатная единица: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учителя-дефектолога (сурдопедагога, тифлопедагога,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олигофренопедагога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) на каждые 5-12 обучающихся с ограниченными возможностями здоровья;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учителя-логопеда на каждые 5-12 обучающихся с ограниченными возможностями здоровья;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педагога-психолога на каждые 20 обучающихся с ограниченными возможностями здоровья;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тьютора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на каждые 1-5 обучающихся с ограниченными возможностями здоровья;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ассистента (помощника) на каждые 1-5 обучающихся с ограниченными возможностями здоровья.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5 статьи 41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34DAC" w:rsidRDefault="00534DAC" w:rsidP="00534DA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</w:t>
      </w:r>
      <w:hyperlink r:id="rId1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Часть 6 статьи 41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53, ст.7598).</w:t>
      </w:r>
    </w:p>
    <w:p w:rsidR="00534DAC" w:rsidRPr="00534DAC" w:rsidRDefault="00534DAC" w:rsidP="00534DAC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sectPr w:rsidR="00534DAC" w:rsidRPr="0053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5C93"/>
    <w:multiLevelType w:val="hybridMultilevel"/>
    <w:tmpl w:val="74E6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41"/>
    <w:rsid w:val="004C79F0"/>
    <w:rsid w:val="00534DAC"/>
    <w:rsid w:val="00A91041"/>
    <w:rsid w:val="00E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DF40"/>
  <w15:chartTrackingRefBased/>
  <w15:docId w15:val="{A7D11362-166B-4FFA-ACA7-CDA8EF00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4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DA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34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34D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D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53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99048913" TargetMode="External"/><Relationship Id="rId18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3354</Words>
  <Characters>19120</Characters>
  <Application>Microsoft Office Word</Application>
  <DocSecurity>0</DocSecurity>
  <Lines>159</Lines>
  <Paragraphs>44</Paragraphs>
  <ScaleCrop>false</ScaleCrop>
  <Company/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2021-01-22T17:19:00Z</dcterms:created>
  <dcterms:modified xsi:type="dcterms:W3CDTF">2021-01-22T17:25:00Z</dcterms:modified>
</cp:coreProperties>
</file>