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A39" w:rsidRPr="00C34A39" w:rsidRDefault="00C34A39" w:rsidP="00C34A39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C34A39">
        <w:rPr>
          <w:rFonts w:ascii="Times New Roman" w:hAnsi="Times New Roman" w:cs="Times New Roman"/>
          <w:b/>
          <w:bCs/>
          <w:sz w:val="32"/>
        </w:rPr>
        <w:t>Комментарии экспертов к оценке профессиональной деятельности (к экспертному заключению)</w:t>
      </w:r>
    </w:p>
    <w:p w:rsidR="00C34A39" w:rsidRPr="00C34A39" w:rsidRDefault="00C34A39" w:rsidP="00C34A39">
      <w:pPr>
        <w:rPr>
          <w:b/>
          <w:bCs/>
        </w:rPr>
      </w:pPr>
    </w:p>
    <w:tbl>
      <w:tblPr>
        <w:tblW w:w="10632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05"/>
        <w:gridCol w:w="725"/>
        <w:gridCol w:w="3102"/>
      </w:tblGrid>
      <w:tr w:rsidR="00C34A39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280" w:right="266" w:firstLine="6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критерии и показатели установления высшей квалификационной категории</w:t>
            </w:r>
          </w:p>
        </w:tc>
        <w:tc>
          <w:tcPr>
            <w:tcW w:w="3827" w:type="dxa"/>
            <w:gridSpan w:val="2"/>
            <w:shd w:val="clear" w:color="auto" w:fill="auto"/>
          </w:tcPr>
          <w:p w:rsidR="00C34A39" w:rsidRPr="00C34A39" w:rsidRDefault="00C34A39" w:rsidP="00C34A39">
            <w:pPr>
              <w:widowControl w:val="0"/>
              <w:spacing w:before="116" w:after="0" w:line="240" w:lineRule="auto"/>
              <w:ind w:left="1032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краткий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комментарий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экспертов</w:t>
            </w:r>
            <w:proofErr w:type="spellEnd"/>
          </w:p>
        </w:tc>
      </w:tr>
      <w:tr w:rsidR="00C34A39" w:rsidRPr="00C34A39" w:rsidTr="003E0BF1">
        <w:trPr>
          <w:trHeight w:hRule="exact" w:val="1596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1*. 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      </w:r>
            <w:hyperlink r:id="rId5">
              <w:r w:rsidRPr="00C34A39">
                <w:rPr>
                  <w:rFonts w:ascii="Times New Roman" w:eastAsia="Times New Roman" w:hAnsi="Times New Roman" w:cs="Times New Roman"/>
                  <w:sz w:val="24"/>
                </w:rPr>
                <w:t>постановлением</w:t>
              </w:r>
            </w:hyperlink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Правительства Российской Федерации от 5 августа 2013 г.</w:t>
            </w:r>
            <w:proofErr w:type="gramEnd"/>
          </w:p>
          <w:p w:rsidR="00C34A39" w:rsidRPr="00C34A39" w:rsidRDefault="00C34A39" w:rsidP="00C34A39">
            <w:pPr>
              <w:widowControl w:val="0"/>
              <w:spacing w:after="0" w:line="266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№ 662</w:t>
            </w:r>
          </w:p>
        </w:tc>
      </w:tr>
      <w:tr w:rsidR="00C34A39" w:rsidRPr="00C34A39" w:rsidTr="003E0BF1">
        <w:trPr>
          <w:trHeight w:hRule="exact" w:val="541"/>
        </w:trPr>
        <w:tc>
          <w:tcPr>
            <w:tcW w:w="10632" w:type="dxa"/>
            <w:gridSpan w:val="3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30" w:lineRule="auto"/>
              <w:ind w:left="103" w:right="26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Результативность образовательной деятельности* (показатели изменяются в зависимости от должности)</w:t>
            </w:r>
          </w:p>
        </w:tc>
      </w:tr>
      <w:tr w:rsidR="00C34A39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61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C34A39" w:rsidRPr="00C34A39" w:rsidRDefault="00C34A39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609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500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1.1. Освоение </w:t>
            </w:r>
            <w:proofErr w:type="gramStart"/>
            <w:r w:rsidRPr="003E0BF1">
              <w:rPr>
                <w:sz w:val="24"/>
                <w:lang w:val="ru-RU"/>
              </w:rPr>
              <w:t>обучающимися</w:t>
            </w:r>
            <w:proofErr w:type="gramEnd"/>
            <w:r w:rsidRPr="003E0BF1">
              <w:rPr>
                <w:sz w:val="24"/>
                <w:lang w:val="ru-RU"/>
              </w:rPr>
              <w:t xml:space="preserve"> основной образовательной программы (по направлению)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60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824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1.2. </w:t>
            </w:r>
            <w:proofErr w:type="spellStart"/>
            <w:r w:rsidRPr="003E0BF1">
              <w:rPr>
                <w:sz w:val="24"/>
                <w:lang w:val="ru-RU"/>
              </w:rPr>
              <w:t>Сформированность</w:t>
            </w:r>
            <w:proofErr w:type="spellEnd"/>
            <w:r w:rsidRPr="003E0BF1">
              <w:rPr>
                <w:sz w:val="24"/>
                <w:lang w:val="ru-RU"/>
              </w:rPr>
              <w:t xml:space="preserve"> у </w:t>
            </w:r>
            <w:proofErr w:type="gramStart"/>
            <w:r w:rsidRPr="003E0BF1">
              <w:rPr>
                <w:sz w:val="24"/>
                <w:lang w:val="ru-RU"/>
              </w:rPr>
              <w:t>обучающихся</w:t>
            </w:r>
            <w:proofErr w:type="gramEnd"/>
            <w:r w:rsidRPr="003E0BF1">
              <w:rPr>
                <w:sz w:val="24"/>
                <w:lang w:val="ru-RU"/>
              </w:rPr>
              <w:t xml:space="preserve"> интереса к различным видам детской музыкальной деятельности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53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869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1.3. Умение </w:t>
            </w:r>
            <w:proofErr w:type="gramStart"/>
            <w:r w:rsidRPr="003E0BF1">
              <w:rPr>
                <w:sz w:val="24"/>
                <w:lang w:val="ru-RU"/>
              </w:rPr>
              <w:t>обучающихся</w:t>
            </w:r>
            <w:proofErr w:type="gramEnd"/>
            <w:r w:rsidRPr="003E0BF1">
              <w:rPr>
                <w:sz w:val="24"/>
                <w:lang w:val="ru-RU"/>
              </w:rPr>
              <w:t xml:space="preserve"> общаться со сверстниками и взрослыми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90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90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 xml:space="preserve">1.4. Освоение </w:t>
            </w:r>
            <w:proofErr w:type="gramStart"/>
            <w:r w:rsidRPr="003E0BF1">
              <w:rPr>
                <w:sz w:val="24"/>
                <w:lang w:val="ru-RU"/>
              </w:rPr>
              <w:t>обучающимися</w:t>
            </w:r>
            <w:proofErr w:type="gramEnd"/>
            <w:r w:rsidRPr="003E0BF1">
              <w:rPr>
                <w:sz w:val="24"/>
                <w:lang w:val="ru-RU"/>
              </w:rPr>
              <w:t xml:space="preserve"> дополнительных общеобразовательных программ (по направлению)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54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209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1.5. Проведение образовательных мероприятий (праздники, развлечения и др.), направленных на взаимодействие обучающихся и их родителей (законных представителей)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69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227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1.6. Деятельность разновозрастного детского (детск</w:t>
            </w:r>
            <w:proofErr w:type="gramStart"/>
            <w:r w:rsidRPr="003E0BF1">
              <w:rPr>
                <w:sz w:val="24"/>
                <w:lang w:val="ru-RU"/>
              </w:rPr>
              <w:t>о-</w:t>
            </w:r>
            <w:proofErr w:type="gramEnd"/>
            <w:r w:rsidRPr="003E0BF1">
              <w:rPr>
                <w:sz w:val="24"/>
                <w:lang w:val="ru-RU"/>
              </w:rPr>
              <w:t xml:space="preserve"> взрослого) музыкального коллектива (ансамбля, хора и др.)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46"/>
        </w:trPr>
        <w:tc>
          <w:tcPr>
            <w:tcW w:w="6805" w:type="dxa"/>
            <w:shd w:val="clear" w:color="auto" w:fill="auto"/>
          </w:tcPr>
          <w:p w:rsidR="003E0BF1" w:rsidRPr="003E0BF1" w:rsidRDefault="003E0BF1" w:rsidP="00E63141">
            <w:pPr>
              <w:pStyle w:val="TableParagraph"/>
              <w:ind w:right="191"/>
              <w:rPr>
                <w:sz w:val="24"/>
                <w:lang w:val="ru-RU"/>
              </w:rPr>
            </w:pPr>
            <w:r w:rsidRPr="003E0BF1">
              <w:rPr>
                <w:sz w:val="24"/>
                <w:lang w:val="ru-RU"/>
              </w:rPr>
              <w:t>1.7. Участие родителей (законных представителей) в организации театрализованных представлений, праздников, концертов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02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1.8. Обеспечение безопасных условий организации образовательного процесса (в том числе отсутствие травматизма)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2" w:lineRule="auto"/>
              <w:ind w:left="103" w:right="74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1.9. Организация психологически безопасной образовательной среды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20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1.10. Отсутствие жалоб со стороны участников образовательных отношений на профессиональную деятельность педагога, дисциплинарных взысканий со стороны работодателя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38"/>
        </w:trPr>
        <w:tc>
          <w:tcPr>
            <w:tcW w:w="10632" w:type="dxa"/>
            <w:gridSpan w:val="3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0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 Выявление и развитие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</w:t>
            </w: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61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0-7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867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7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66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113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2.1. Умение применять, анализировать и представлять результаты использования современных методик диагностирования, контроля и оценки достижений обучающихся и воспитанников.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42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14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2.2. Умение выявлять уровень развития способностей обучающихся к научной (интеллектуальной), творческой, физкультурно-спортивной и др. деятельности; изучение образовательных запросов и интересов обучающихся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>. с особыми образовательными</w:t>
            </w:r>
            <w:r w:rsidRPr="00CD5C60">
              <w:rPr>
                <w:sz w:val="24"/>
              </w:rPr>
              <w:t xml:space="preserve"> </w:t>
            </w:r>
            <w:r w:rsidRPr="00CD5C60">
              <w:rPr>
                <w:sz w:val="24"/>
              </w:rPr>
              <w:t>потребностями).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Tr="003E0BF1">
        <w:trPr>
          <w:trHeight w:hRule="exact" w:val="857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20" w:lineRule="auto"/>
              <w:ind w:right="140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lastRenderedPageBreak/>
              <w:t>2.3. Умение отбирать (разрабатывать) контрольно-оценочные материалы (КОС, КИМ и др.) для использования в образовательном процессе</w:t>
            </w:r>
          </w:p>
          <w:p w:rsidR="003E0BF1" w:rsidRPr="00C34A39" w:rsidRDefault="003E0BF1" w:rsidP="00030AAD">
            <w:pPr>
              <w:pStyle w:val="TableParagraph"/>
              <w:spacing w:before="3" w:line="254" w:lineRule="exact"/>
              <w:ind w:right="566"/>
              <w:rPr>
                <w:sz w:val="24"/>
                <w:lang w:val="ru-RU"/>
              </w:rPr>
            </w:pPr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1138"/>
        </w:trPr>
        <w:tc>
          <w:tcPr>
            <w:tcW w:w="6805" w:type="dxa"/>
            <w:tcBorders>
              <w:bottom w:val="single" w:sz="4" w:space="0" w:color="000000"/>
            </w:tcBorders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20" w:lineRule="auto"/>
              <w:ind w:right="10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2.4. Умение анализировать уроки, занятия, мероприятия с помощью различных методов и техник (в аспекте развития способностей обучающихся к научной (интеллектуальной), творческой, физкультурно-спортивной и др. деятельности).</w:t>
            </w:r>
          </w:p>
        </w:tc>
        <w:tc>
          <w:tcPr>
            <w:tcW w:w="725" w:type="dxa"/>
            <w:tcBorders>
              <w:bottom w:val="single" w:sz="4" w:space="0" w:color="000000"/>
            </w:tcBorders>
            <w:shd w:val="clear" w:color="auto" w:fill="auto"/>
          </w:tcPr>
          <w:p w:rsidR="003E0BF1" w:rsidRDefault="003E0BF1" w:rsidP="00030AAD"/>
        </w:tc>
        <w:tc>
          <w:tcPr>
            <w:tcW w:w="3102" w:type="dxa"/>
            <w:tcBorders>
              <w:bottom w:val="single" w:sz="4" w:space="0" w:color="000000"/>
            </w:tcBorders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540"/>
        </w:trPr>
        <w:tc>
          <w:tcPr>
            <w:tcW w:w="6805" w:type="dxa"/>
            <w:tcBorders>
              <w:top w:val="single" w:sz="4" w:space="0" w:color="000000"/>
            </w:tcBorders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32" w:lineRule="auto"/>
              <w:ind w:right="379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Участие обучающихся в олимпиадах, конкурсах, фестивалях, соревнованиях</w:t>
            </w:r>
          </w:p>
        </w:tc>
        <w:tc>
          <w:tcPr>
            <w:tcW w:w="725" w:type="dxa"/>
            <w:tcBorders>
              <w:top w:val="single" w:sz="4" w:space="0" w:color="000000"/>
            </w:tcBorders>
            <w:shd w:val="clear" w:color="auto" w:fill="auto"/>
          </w:tcPr>
          <w:p w:rsidR="003E0BF1" w:rsidRPr="00CD5C60" w:rsidRDefault="003E0BF1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0-3</w:t>
            </w:r>
          </w:p>
        </w:tc>
        <w:tc>
          <w:tcPr>
            <w:tcW w:w="3102" w:type="dxa"/>
            <w:tcBorders>
              <w:top w:val="single" w:sz="4" w:space="0" w:color="000000"/>
            </w:tcBorders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878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ind w:right="135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 xml:space="preserve">2.5. </w:t>
            </w:r>
            <w:proofErr w:type="gramStart"/>
            <w:r w:rsidRPr="00C34A39">
              <w:rPr>
                <w:sz w:val="24"/>
                <w:lang w:val="ru-RU"/>
              </w:rPr>
              <w:t>Участие обучающихся (индивидуальное)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990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ind w:right="41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 xml:space="preserve">2.6. </w:t>
            </w:r>
            <w:proofErr w:type="gramStart"/>
            <w:r w:rsidRPr="00C34A39">
              <w:rPr>
                <w:sz w:val="24"/>
                <w:lang w:val="ru-RU"/>
              </w:rPr>
              <w:t>Участие обучающихся (коллективное) в конкурсах, проектах, смотрах, выставках, фестивалях, соревнованиях, олимпиадах, конференциях, концертах и др.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848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ind w:right="144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2.7.Совместное участие обучающихся и их родителей (законных представителей) в социально значимых мероприятиях (акциях, конкурсах, проектах).</w:t>
            </w:r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1068"/>
        </w:trPr>
        <w:tc>
          <w:tcPr>
            <w:tcW w:w="10632" w:type="dxa"/>
            <w:gridSpan w:val="3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30" w:lineRule="auto"/>
              <w:ind w:right="103"/>
              <w:jc w:val="both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 Личный вклад в повышение качества образования, совершенствование методов обучения и воспитания 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</w:tr>
      <w:tr w:rsidR="003E0BF1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D5C60" w:rsidRDefault="003E0BF1" w:rsidP="00030AAD">
            <w:pPr>
              <w:pStyle w:val="TableParagraph"/>
              <w:spacing w:line="255" w:lineRule="exact"/>
              <w:ind w:right="307"/>
              <w:rPr>
                <w:sz w:val="24"/>
              </w:rPr>
            </w:pPr>
            <w:proofErr w:type="spellStart"/>
            <w:r w:rsidRPr="00CD5C60">
              <w:rPr>
                <w:sz w:val="24"/>
              </w:rPr>
              <w:t>Количество</w:t>
            </w:r>
            <w:proofErr w:type="spellEnd"/>
            <w:r w:rsidRPr="00CD5C60">
              <w:rPr>
                <w:sz w:val="24"/>
              </w:rPr>
              <w:t xml:space="preserve"> </w:t>
            </w:r>
            <w:proofErr w:type="spellStart"/>
            <w:r w:rsidRPr="00CD5C60">
              <w:rPr>
                <w:sz w:val="24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3E0BF1" w:rsidRPr="00CD5C60" w:rsidRDefault="003E0BF1" w:rsidP="00030AAD">
            <w:pPr>
              <w:pStyle w:val="TableParagraph"/>
              <w:spacing w:line="255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0-22</w:t>
            </w:r>
          </w:p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355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30" w:lineRule="auto"/>
              <w:ind w:right="307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Личный вклад в повышение качества образования</w:t>
            </w:r>
          </w:p>
        </w:tc>
        <w:tc>
          <w:tcPr>
            <w:tcW w:w="725" w:type="dxa"/>
            <w:shd w:val="clear" w:color="auto" w:fill="auto"/>
          </w:tcPr>
          <w:p w:rsidR="003E0BF1" w:rsidRPr="00CD5C60" w:rsidRDefault="003E0BF1" w:rsidP="00030AAD">
            <w:pPr>
              <w:pStyle w:val="TableParagraph"/>
              <w:spacing w:line="258" w:lineRule="exact"/>
              <w:ind w:left="117" w:right="117"/>
              <w:jc w:val="center"/>
              <w:rPr>
                <w:sz w:val="24"/>
              </w:rPr>
            </w:pPr>
            <w:r w:rsidRPr="00CD5C60">
              <w:rPr>
                <w:sz w:val="24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1409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20" w:lineRule="auto"/>
              <w:ind w:right="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 xml:space="preserve">3.1. </w:t>
            </w:r>
            <w:proofErr w:type="gramStart"/>
            <w:r w:rsidRPr="00C34A39">
              <w:rPr>
                <w:sz w:val="24"/>
                <w:lang w:val="ru-RU"/>
              </w:rPr>
              <w:t xml:space="preserve">Создание элементов образовательной инфраструктуры (оформление кабинета, группы, зала, студии, мастерской, клуба, музея, исследовательского центра и т.п.), в </w:t>
            </w:r>
            <w:proofErr w:type="spellStart"/>
            <w:r w:rsidRPr="00C34A39">
              <w:rPr>
                <w:sz w:val="24"/>
                <w:lang w:val="ru-RU"/>
              </w:rPr>
              <w:t>т.ч</w:t>
            </w:r>
            <w:proofErr w:type="spellEnd"/>
            <w:r w:rsidRPr="00C34A39">
              <w:rPr>
                <w:sz w:val="24"/>
                <w:lang w:val="ru-RU"/>
              </w:rPr>
              <w:t>. адаптированных к особым образовательным потребностям обучающихся.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518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18" w:lineRule="auto"/>
              <w:ind w:right="186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3.2. Разработка элементов собственной методики работы (технологии, техники).</w:t>
            </w:r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Tr="003E0BF1">
        <w:trPr>
          <w:trHeight w:hRule="exact" w:val="1324"/>
        </w:trPr>
        <w:tc>
          <w:tcPr>
            <w:tcW w:w="6805" w:type="dxa"/>
            <w:shd w:val="clear" w:color="auto" w:fill="auto"/>
          </w:tcPr>
          <w:p w:rsidR="003E0BF1" w:rsidRPr="00C34A39" w:rsidRDefault="003E0BF1" w:rsidP="00030AAD">
            <w:pPr>
              <w:pStyle w:val="TableParagraph"/>
              <w:spacing w:line="220" w:lineRule="auto"/>
              <w:ind w:right="152"/>
              <w:rPr>
                <w:sz w:val="24"/>
                <w:lang w:val="ru-RU"/>
              </w:rPr>
            </w:pPr>
            <w:r w:rsidRPr="00C34A39">
              <w:rPr>
                <w:sz w:val="24"/>
                <w:lang w:val="ru-RU"/>
              </w:rPr>
              <w:t>3.3. Наличие учебно-методической продукции (методические разработки, методические пособия и рекомендации, методические указания, учебн</w:t>
            </w:r>
            <w:proofErr w:type="gramStart"/>
            <w:r w:rsidRPr="00C34A39">
              <w:rPr>
                <w:sz w:val="24"/>
                <w:lang w:val="ru-RU"/>
              </w:rPr>
              <w:t>о-</w:t>
            </w:r>
            <w:proofErr w:type="gramEnd"/>
            <w:r w:rsidRPr="00C34A39">
              <w:rPr>
                <w:sz w:val="24"/>
                <w:lang w:val="ru-RU"/>
              </w:rPr>
              <w:t xml:space="preserve"> методические пособия и рекомендации и др.), имеющей положительные внешние рецензии/отзывы.</w:t>
            </w:r>
          </w:p>
        </w:tc>
        <w:tc>
          <w:tcPr>
            <w:tcW w:w="725" w:type="dxa"/>
            <w:shd w:val="clear" w:color="auto" w:fill="auto"/>
          </w:tcPr>
          <w:p w:rsidR="003E0BF1" w:rsidRDefault="003E0BF1" w:rsidP="00030AAD"/>
        </w:tc>
        <w:tc>
          <w:tcPr>
            <w:tcW w:w="3102" w:type="dxa"/>
            <w:shd w:val="clear" w:color="auto" w:fill="auto"/>
          </w:tcPr>
          <w:p w:rsidR="003E0BF1" w:rsidRDefault="003E0BF1" w:rsidP="00030AAD"/>
        </w:tc>
      </w:tr>
      <w:tr w:rsidR="003E0BF1" w:rsidRPr="00C34A39" w:rsidTr="003E0BF1">
        <w:trPr>
          <w:trHeight w:hRule="exact" w:val="70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71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3.4. Соответствие рабочей учебн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методической документации требованиям ФГОС и требованиям, установленным в образовательной организации.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5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Совершенствование методов обучения и воспитания и продуктивное использование новых образовательных технологий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0-8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113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5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3.5. Умение выбирать (отбирать) и применять методы, средства и организационные формы обучения, воспитания, развития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обучающихся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и коррекционно-развивающей, профилактической работы и т.п.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42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3.6.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Умение разрабатывать образовательные программы (рабочую программу учебных предметов, курсов, дисциплин (модулей), рабочие учебные программы.</w:t>
            </w:r>
            <w:proofErr w:type="gramEnd"/>
          </w:p>
          <w:p w:rsidR="003E0BF1" w:rsidRPr="00C34A39" w:rsidRDefault="003E0BF1" w:rsidP="00C34A39">
            <w:pPr>
              <w:widowControl w:val="0"/>
              <w:spacing w:before="3" w:after="0" w:line="254" w:lineRule="exact"/>
              <w:ind w:left="103" w:right="42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5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21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3.7. Ведение в электронной форме документации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>. электронный журнал, электронный дневник, планов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отчетная документация и др.).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02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20" w:lineRule="auto"/>
              <w:ind w:left="103" w:right="31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3.8. Использование прикладного программного обеспечения (обработка графики, звука и т.п.) для организации своей профессиональной деятельности.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7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69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3.9. Использование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мультимедийных технологий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интерактивного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оборудования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образовательном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>процессе.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11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6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3.10. Использование разнообразных форм и методов; отдельных приемов современных образовательных технологий в образовательном процессе.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3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3.11. Системное использование двух и более новых образовательных технологий и методик.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942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243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3.12. Реализация образовательных программ (полностью или частично) с использованием электронного обучения и дистанционных образовательных технологий 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использование сервисов сети Интернет, банков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электронных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образовательных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>ресурсов).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val="133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52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Транслирование в педагогических коллективах опыта практических результатов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своей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профессиональной</w:t>
            </w:r>
          </w:p>
          <w:p w:rsidR="003E0BF1" w:rsidRPr="00C34A39" w:rsidRDefault="003E0BF1" w:rsidP="00C34A39">
            <w:pPr>
              <w:widowControl w:val="0"/>
              <w:spacing w:after="0" w:line="230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деятельности, в том числе экспериментальной и инновационной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7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1942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20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3.13. Транслирование опыта практической деятельности в различных формах (выступление, презентация, стендовый доклад, мастер-класс и т.п.) в образовательной организации, в других образовательных организациях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66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3.14. Транслирование опыта практической деятельности в различных формах (выступление, презентация, стендовый доклад, мастер-класс и т.п.) на региональном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66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3.15. Транслирование опыта практической деятельности в различных формах (выступление, презентация, стендовый доклад, мастер-класс и т.п.) на федеральном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171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2" w:lineRule="auto"/>
              <w:ind w:left="103" w:right="13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3.16. Наличие публикаций (без учета Интернет-ресурсов) в изданиях образовательной организации и изданиях муниципального уровня.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79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2" w:lineRule="auto"/>
              <w:ind w:left="103" w:right="18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3.17. Наличие публикаций (без учета Интернет-ресурсов) в региональных или межрегиональных изданиях.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7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2" w:lineRule="auto"/>
              <w:ind w:left="103" w:right="31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3.18. Наличие публикаций (без учета Интернет-ресурсов) в федеральных или международных изданиях.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221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44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3.19. Транслирование опыта практических результатов педагогической деятельности на ресурсах сети Интернет (профессиональные педагогические сообщества, сайты издательств, сайты образовательных организаций и т.п.), кроме социальных сетей.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390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23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3.20. Транслирование опыта реализации программ и проектов инновационного характера на уровне образовательной организации и на муниципальном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66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3.21. Транслирование опыта реализации программ и проектов экспериментального и (или) инновационного характера на региональном уровне или межрегиональном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9540C0" w:rsidTr="003E0BF1">
        <w:trPr>
          <w:trHeight w:val="1668"/>
        </w:trPr>
        <w:tc>
          <w:tcPr>
            <w:tcW w:w="6805" w:type="dxa"/>
            <w:shd w:val="clear" w:color="auto" w:fill="auto"/>
          </w:tcPr>
          <w:p w:rsidR="003E0BF1" w:rsidRPr="009540C0" w:rsidRDefault="003E0BF1" w:rsidP="00C34A39">
            <w:pPr>
              <w:widowControl w:val="0"/>
              <w:spacing w:after="0" w:line="262" w:lineRule="exact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3.22. Транслирование опыта реализации</w:t>
            </w:r>
          </w:p>
          <w:p w:rsidR="003E0BF1" w:rsidRPr="00C34A39" w:rsidRDefault="003E0BF1" w:rsidP="00C34A39">
            <w:pPr>
              <w:widowControl w:val="0"/>
              <w:spacing w:after="0" w:line="240" w:lineRule="auto"/>
              <w:ind w:left="103" w:right="109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программ и проектов экспериментального и (или) инновационного характера на федеральном уровне или международном уровне.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802"/>
        </w:trPr>
        <w:tc>
          <w:tcPr>
            <w:tcW w:w="10632" w:type="dxa"/>
            <w:gridSpan w:val="3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640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</w:t>
            </w: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0-10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80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3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0-4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1501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16" w:lineRule="auto"/>
              <w:ind w:left="103" w:right="28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4.1.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работе методического объединения педагогов (ПЦК, МК, МС, кафедры, лаборатории) образовательной организации (проведение открытых уроков, занятий, мероприятий, выступления на МО).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00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16" w:lineRule="auto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4.2. Активное участие в работе методического объединения специалистов других ОО, округа, района/города.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00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16" w:lineRule="auto"/>
              <w:ind w:left="103" w:right="1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4.3. Участие в работе творческих, проектных групп в образовательной организации и в других образовательных организациях.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74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16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4.4.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Участие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качестве эксперта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ГЭК, РБЭ, в экспертном совете ОО,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жюри конкурсов профессионального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мастерства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конкурсов, олимпиад, смотров, проводимых </w:t>
            </w:r>
            <w:r w:rsidRPr="00C34A39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для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обучающихся,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члена </w:t>
            </w:r>
            <w:r w:rsidRPr="00C34A39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аттестационной </w:t>
            </w:r>
            <w:r w:rsidRPr="00C34A39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комиссии, </w:t>
            </w:r>
            <w:r w:rsidRPr="00C34A39">
              <w:rPr>
                <w:rFonts w:ascii="Times New Roman" w:eastAsia="Times New Roman" w:hAnsi="Times New Roman" w:cs="Times New Roman"/>
                <w:sz w:val="24"/>
              </w:rPr>
              <w:t>судьи на соревнованиях и т.п.</w:t>
            </w:r>
            <w:proofErr w:type="gramEnd"/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06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92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разработке программно-методического сопровождения образовательного процесса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17" w:right="115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7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8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4.5. Умение разрабатывать программы и учебные материалы для обучающихся с особыми образовательными потребностями и их родителей (законных представителей) (программа внеурочной деятельности, программа психолог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педагогического сопровождения, программа элективного курса, адаптированные образовательные программы и др.).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11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ind w:left="103" w:right="104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lastRenderedPageBreak/>
              <w:t>4.6. Создание (адаптация) учебн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о-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 методического комплекса к реализуемой программе с учетом особенностей обучающихся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val="111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62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4.7. Опыт разработки программ</w:t>
            </w:r>
          </w:p>
          <w:p w:rsidR="003E0BF1" w:rsidRPr="00C34A39" w:rsidRDefault="003E0BF1" w:rsidP="00C34A39">
            <w:pPr>
              <w:widowControl w:val="0"/>
              <w:spacing w:after="0" w:line="240" w:lineRule="auto"/>
              <w:ind w:left="103" w:right="30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(в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</w:rPr>
              <w:t>т.ч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</w:rPr>
              <w:t>), направленных на удовлетворение индивидуальных</w:t>
            </w:r>
          </w:p>
          <w:p w:rsidR="003E0BF1" w:rsidRPr="00C34A39" w:rsidRDefault="003E0BF1" w:rsidP="00C34A39">
            <w:pPr>
              <w:widowControl w:val="0"/>
              <w:spacing w:after="0" w:line="265" w:lineRule="exact"/>
              <w:ind w:left="103" w:right="3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запросов</w:t>
            </w:r>
            <w:proofErr w:type="spellEnd"/>
            <w:proofErr w:type="gram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и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интересов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обучающихся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53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Активное участие в профессиональных конкурсах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0-3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1598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235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4.8. Участие в профессиональных конкурсах (смотрах, фестивалях, соревнованиях, выставках профессионального мастерства и т. п.) на уровне образовательной организации или на муниципальном уровне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59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276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4.9. Участие в профессиональных конкурсах (смотрах, фестивалях, соревнованиях, выставках профессионального мастерства и т. п.) на региональном или межрегиональном уровне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1333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92"/>
              <w:rPr>
                <w:rFonts w:ascii="Times New Roman" w:eastAsia="Times New Roman" w:hAnsi="Times New Roman" w:cs="Times New Roman"/>
                <w:sz w:val="24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</w:rPr>
              <w:t>4.10. Участие в профессиональных конкурсах (смотрах, фестивалях, соревнованиях, выставках профессионального мастерства и т. п.) на федеральном или международном уровне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10632" w:type="dxa"/>
            <w:gridSpan w:val="3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82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</w:p>
        </w:tc>
      </w:tr>
      <w:tr w:rsidR="003E0BF1" w:rsidRPr="00C34A39" w:rsidTr="003E0BF1">
        <w:trPr>
          <w:trHeight w:hRule="exact" w:val="540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30" w:lineRule="auto"/>
              <w:ind w:left="103" w:right="1693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5.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Дополнительные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баллы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(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прокомментировать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)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0-16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5.2.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5.3.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5.4.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5.5.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6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5.6.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5.7.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5.8.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5.9.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5.10.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5.11.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5.12.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8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5.13.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5.14.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6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5.15.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307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5.16.</w:t>
            </w:r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3E0BF1" w:rsidRPr="00C34A39" w:rsidTr="003E0BF1">
        <w:trPr>
          <w:trHeight w:hRule="exact" w:val="274"/>
        </w:trPr>
        <w:tc>
          <w:tcPr>
            <w:tcW w:w="680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03" w:right="175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Всего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максимальное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количество</w:t>
            </w:r>
            <w:proofErr w:type="spellEnd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баллов</w:t>
            </w:r>
            <w:proofErr w:type="spellEnd"/>
          </w:p>
        </w:tc>
        <w:tc>
          <w:tcPr>
            <w:tcW w:w="725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55" w:lineRule="exact"/>
              <w:ind w:left="117" w:right="117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C34A39">
              <w:rPr>
                <w:rFonts w:ascii="Times New Roman" w:eastAsia="Times New Roman" w:hAnsi="Times New Roman" w:cs="Times New Roman"/>
                <w:sz w:val="24"/>
                <w:lang w:val="en-US"/>
              </w:rPr>
              <w:t>65</w:t>
            </w:r>
          </w:p>
        </w:tc>
        <w:tc>
          <w:tcPr>
            <w:tcW w:w="3102" w:type="dxa"/>
            <w:shd w:val="clear" w:color="auto" w:fill="auto"/>
          </w:tcPr>
          <w:p w:rsidR="003E0BF1" w:rsidRPr="00C34A39" w:rsidRDefault="003E0BF1" w:rsidP="00C34A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C34A39" w:rsidRDefault="00C34A39" w:rsidP="00C34A39"/>
    <w:tbl>
      <w:tblPr>
        <w:tblW w:w="0" w:type="auto"/>
        <w:tblInd w:w="10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31"/>
      </w:tblGrid>
      <w:tr w:rsidR="00C34A39" w:rsidTr="00030AAD">
        <w:trPr>
          <w:trHeight w:hRule="exact" w:val="301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287" w:lineRule="exact"/>
              <w:ind w:left="200"/>
              <w:rPr>
                <w:sz w:val="28"/>
              </w:rPr>
            </w:pPr>
            <w:bookmarkStart w:id="0" w:name="_GoBack"/>
            <w:proofErr w:type="spellStart"/>
            <w:r w:rsidRPr="00CD5C60">
              <w:rPr>
                <w:sz w:val="28"/>
              </w:rPr>
              <w:t>Руководитель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bookmarkEnd w:id="0"/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34A39" w:rsidTr="00030AAD">
        <w:trPr>
          <w:trHeight w:hRule="exact" w:val="322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proofErr w:type="spellStart"/>
            <w:r w:rsidRPr="00CD5C60">
              <w:rPr>
                <w:sz w:val="28"/>
              </w:rPr>
              <w:t>Член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экспертной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группы</w:t>
            </w:r>
            <w:proofErr w:type="spellEnd"/>
          </w:p>
        </w:tc>
      </w:tr>
      <w:tr w:rsidR="00C34A39" w:rsidTr="00030AAD">
        <w:trPr>
          <w:trHeight w:hRule="exact" w:val="623"/>
        </w:trPr>
        <w:tc>
          <w:tcPr>
            <w:tcW w:w="4431" w:type="dxa"/>
            <w:shd w:val="clear" w:color="auto" w:fill="auto"/>
          </w:tcPr>
          <w:p w:rsidR="00C34A39" w:rsidRPr="00CD5C60" w:rsidRDefault="00C34A39" w:rsidP="00030AAD">
            <w:pPr>
              <w:pStyle w:val="TableParagraph"/>
              <w:spacing w:line="307" w:lineRule="exact"/>
              <w:ind w:left="200"/>
              <w:rPr>
                <w:sz w:val="28"/>
              </w:rPr>
            </w:pPr>
            <w:r w:rsidRPr="00CD5C60">
              <w:rPr>
                <w:sz w:val="28"/>
              </w:rPr>
              <w:t xml:space="preserve">С </w:t>
            </w:r>
            <w:proofErr w:type="spellStart"/>
            <w:r w:rsidRPr="00CD5C60">
              <w:rPr>
                <w:sz w:val="28"/>
              </w:rPr>
              <w:t>приложением</w:t>
            </w:r>
            <w:proofErr w:type="spellEnd"/>
            <w:r w:rsidRPr="00CD5C60">
              <w:rPr>
                <w:sz w:val="28"/>
              </w:rPr>
              <w:t xml:space="preserve"> </w:t>
            </w:r>
            <w:proofErr w:type="spellStart"/>
            <w:r w:rsidRPr="00CD5C60">
              <w:rPr>
                <w:sz w:val="28"/>
              </w:rPr>
              <w:t>ознакомлен</w:t>
            </w:r>
            <w:proofErr w:type="spellEnd"/>
          </w:p>
          <w:p w:rsidR="00C34A39" w:rsidRPr="00CD5C60" w:rsidRDefault="00C34A39" w:rsidP="009540C0">
            <w:pPr>
              <w:pStyle w:val="TableParagraph"/>
              <w:tabs>
                <w:tab w:val="left" w:pos="1111"/>
                <w:tab w:val="left" w:pos="3140"/>
              </w:tabs>
              <w:ind w:left="200"/>
              <w:rPr>
                <w:sz w:val="28"/>
              </w:rPr>
            </w:pPr>
            <w:r w:rsidRPr="00CD5C60">
              <w:rPr>
                <w:sz w:val="28"/>
              </w:rPr>
              <w:t>«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»</w:t>
            </w:r>
            <w:r w:rsidRPr="00CD5C60">
              <w:rPr>
                <w:sz w:val="28"/>
                <w:u w:val="single"/>
              </w:rPr>
              <w:t xml:space="preserve"> </w:t>
            </w:r>
            <w:r w:rsidRPr="00CD5C60">
              <w:rPr>
                <w:sz w:val="28"/>
                <w:u w:val="single"/>
              </w:rPr>
              <w:tab/>
            </w:r>
            <w:r w:rsidRPr="00CD5C60">
              <w:rPr>
                <w:sz w:val="28"/>
              </w:rPr>
              <w:t>201</w:t>
            </w:r>
            <w:r w:rsidR="009540C0">
              <w:rPr>
                <w:sz w:val="28"/>
                <w:lang w:val="ru-RU"/>
              </w:rPr>
              <w:t>7</w:t>
            </w:r>
            <w:r w:rsidRPr="00CD5C60">
              <w:rPr>
                <w:spacing w:val="1"/>
                <w:sz w:val="28"/>
              </w:rPr>
              <w:t xml:space="preserve"> </w:t>
            </w:r>
            <w:r w:rsidRPr="00CD5C60">
              <w:rPr>
                <w:sz w:val="28"/>
              </w:rPr>
              <w:t>г.</w:t>
            </w:r>
          </w:p>
        </w:tc>
      </w:tr>
    </w:tbl>
    <w:p w:rsidR="00C34A39" w:rsidRPr="00C34A39" w:rsidRDefault="00C34A39" w:rsidP="00C34A39"/>
    <w:sectPr w:rsidR="00C34A39" w:rsidRPr="00C34A39" w:rsidSect="003E0BF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A39"/>
    <w:rsid w:val="00070441"/>
    <w:rsid w:val="000D0615"/>
    <w:rsid w:val="003E0BF1"/>
    <w:rsid w:val="009540C0"/>
    <w:rsid w:val="00C3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C34A39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%3DBF56337B084596AF039DC873F2F699ADFFFA34319EB7BEEE58A94CDB79Z96F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Симкова Н.А.</dc:creator>
  <cp:lastModifiedBy>Симкова Н.А.</cp:lastModifiedBy>
  <cp:revision>3</cp:revision>
  <cp:lastPrinted>2017-04-05T08:32:00Z</cp:lastPrinted>
  <dcterms:created xsi:type="dcterms:W3CDTF">2017-03-01T08:19:00Z</dcterms:created>
  <dcterms:modified xsi:type="dcterms:W3CDTF">2017-04-05T08:33:00Z</dcterms:modified>
</cp:coreProperties>
</file>