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32"/>
          <w:szCs w:val="32"/>
          <w:rtl w:val="0"/>
        </w:rPr>
        <w:t xml:space="preserve">«Памятка для родителей подростков»</w:t>
      </w:r>
    </w:p>
    <w:tbl>
      <w:tblPr>
        <w:tblStyle w:val="Table1"/>
        <w:tblW w:w="162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1"/>
        <w:gridCol w:w="5491"/>
        <w:gridCol w:w="5315"/>
        <w:tblGridChange w:id="0">
          <w:tblGrid>
            <w:gridCol w:w="5491"/>
            <w:gridCol w:w="5491"/>
            <w:gridCol w:w="5315"/>
          </w:tblGrid>
        </w:tblGridChange>
      </w:tblGrid>
      <w:tr>
        <w:trPr>
          <w:cantSplit w:val="0"/>
          <w:trHeight w:val="1062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bCs w:val="1"/>
                <w:sz w:val="40"/>
                <w:szCs w:val="40"/>
              </w:rPr>
              <w:drawing>
                <wp:inline distB="0" distT="0" distL="0" distR="0">
                  <wp:extent cx="3260027" cy="2169355"/>
                  <wp:effectExtent b="0" l="0" r="0" t="0"/>
                  <wp:docPr descr="C:\Users\user\Desktop\64c7d334ee1ade8a332c80e750e2b241.jp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user\Desktop\64c7d334ee1ade8a332c80e750e2b24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027" cy="21693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Цените откровенность своих детей, искренне интересуйтесь их проблемами.</w:t>
            </w:r>
          </w:p>
          <w:p w:rsidR="00000000" w:rsidDel="00000000" w:rsidP="00000000" w:rsidRDefault="00000000" w:rsidRPr="00000000" w14:paraId="00000004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Общайтесь на равных, тон приказа сработает не в вашу пользу. Дайте понять, что Вы понимаете их.</w:t>
            </w:r>
          </w:p>
          <w:p w:rsidR="00000000" w:rsidDel="00000000" w:rsidP="00000000" w:rsidRDefault="00000000" w:rsidRPr="00000000" w14:paraId="00000005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      </w:r>
          </w:p>
          <w:p w:rsidR="00000000" w:rsidDel="00000000" w:rsidP="00000000" w:rsidRDefault="00000000" w:rsidRPr="00000000" w14:paraId="00000006">
            <w:pPr>
              <w:spacing w:after="180" w:before="180" w:line="276" w:lineRule="auto"/>
              <w:ind w:firstLine="14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Не раздражайтесь и не проявляйте агрессивности, будьте спокойны, сдержанны. Помните, что ваша грубость вызовет их ответную реакцию.</w:t>
            </w:r>
          </w:p>
          <w:p w:rsidR="00000000" w:rsidDel="00000000" w:rsidP="00000000" w:rsidRDefault="00000000" w:rsidRPr="00000000" w14:paraId="00000007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Не говорите об объекте увлечения вашего ребенка пренебрежительным, оскорбительным тоном, тем самым Вы унизите его самого.</w:t>
            </w:r>
          </w:p>
          <w:p w:rsidR="00000000" w:rsidDel="00000000" w:rsidP="00000000" w:rsidRDefault="00000000" w:rsidRPr="00000000" w14:paraId="00000008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Пригласите его (ее) подругу (друга) к себе, познакомьтесь –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      </w:r>
          </w:p>
          <w:p w:rsidR="00000000" w:rsidDel="00000000" w:rsidP="00000000" w:rsidRDefault="00000000" w:rsidRPr="00000000" w14:paraId="0000000A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Расскажите им о себе, вашей истории первой любви – это поможет найти Вам взаимопонимание с ребенком.</w:t>
            </w:r>
          </w:p>
          <w:p w:rsidR="00000000" w:rsidDel="00000000" w:rsidP="00000000" w:rsidRDefault="00000000" w:rsidRPr="00000000" w14:paraId="0000000B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      </w:r>
          </w:p>
          <w:p w:rsidR="00000000" w:rsidDel="00000000" w:rsidP="00000000" w:rsidRDefault="00000000" w:rsidRPr="00000000" w14:paraId="0000000C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Помните, что, с одной стороны, подросток остро нуждается в помощи родителей, сталкиваясь со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      </w:r>
          </w:p>
          <w:p w:rsidR="00000000" w:rsidDel="00000000" w:rsidP="00000000" w:rsidRDefault="00000000" w:rsidRPr="00000000" w14:paraId="0000000D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  <w:drawing>
                <wp:inline distB="0" distT="0" distL="0" distR="0">
                  <wp:extent cx="2730270" cy="1821569"/>
                  <wp:effectExtent b="0" l="0" r="0" t="0"/>
                  <wp:docPr descr="C:\Users\user\Desktop\nintchdbpict000409465037-2048x1365.jpg" id="2" name="image2.png"/>
                  <a:graphic>
                    <a:graphicData uri="http://schemas.openxmlformats.org/drawingml/2006/picture">
                      <pic:pic>
                        <pic:nvPicPr>
                          <pic:cNvPr descr="C:\Users\user\Desktop\nintchdbpict000409465037-2048x1365.jp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270" cy="18215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Отнеситесь к проблеме «трудного» ребенка, прежде всего с позиции понимания трудностей самого ребенка.</w:t>
            </w:r>
          </w:p>
          <w:p w:rsidR="00000000" w:rsidDel="00000000" w:rsidP="00000000" w:rsidRDefault="00000000" w:rsidRPr="00000000" w14:paraId="0000000F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      </w:r>
          </w:p>
          <w:p w:rsidR="00000000" w:rsidDel="00000000" w:rsidP="00000000" w:rsidRDefault="00000000" w:rsidRPr="00000000" w14:paraId="00000010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      </w:r>
          </w:p>
          <w:p w:rsidR="00000000" w:rsidDel="00000000" w:rsidP="00000000" w:rsidRDefault="00000000" w:rsidRPr="00000000" w14:paraId="00000011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неуспешность ребенка.</w:t>
            </w:r>
          </w:p>
          <w:p w:rsidR="00000000" w:rsidDel="00000000" w:rsidP="00000000" w:rsidRDefault="00000000" w:rsidRPr="00000000" w14:paraId="00000012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80" w:before="180" w:line="276" w:lineRule="auto"/>
              <w:ind w:firstLine="15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И помните самое главное: переходный возраст пройдёт через несколько лет, но пока он не закончится, задача взрослых ненавязчиво постараться помочь не наломать дров детям, иначе потом они же сами будут об этом жалеть.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bCs w:val="1"/>
          <w:sz w:val="40"/>
          <w:szCs w:val="40"/>
        </w:rPr>
      </w:pPr>
      <w:bookmarkStart w:colFirst="0" w:colLast="0" w:name="_wiqx0ldac70l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2" w:top="142" w:left="284" w:right="25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