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caps/>
          <w:color w:val="000080"/>
        </w:rPr>
      </w:pPr>
      <w:r>
        <w:rPr>
          <w:rFonts w:ascii="Times New Roman" w:eastAsia="Calibri" w:hAnsi="Times New Roman"/>
          <w:caps/>
          <w:color w:val="000080"/>
        </w:rPr>
        <w:t xml:space="preserve">МИНИСТЕРСТВО ОБЩЕГО И ПРОФЕССИОНАЛЬНОГО ОБРАЗОВАНИЯ 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caps/>
          <w:color w:val="000080"/>
        </w:rPr>
      </w:pPr>
      <w:r>
        <w:rPr>
          <w:rFonts w:ascii="Times New Roman" w:eastAsia="Calibri" w:hAnsi="Times New Roman"/>
          <w:caps/>
          <w:color w:val="000080"/>
        </w:rPr>
        <w:t xml:space="preserve">РОСТОВСКОЙ ОБЛАСТИ 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Государственное бюджетное учреждение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дополнительного профессионального образования Ростовской области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 xml:space="preserve">«Ростовский институт повышения квалификации </w:t>
      </w:r>
    </w:p>
    <w:p w:rsidR="00CF34E4" w:rsidRDefault="002C5C76">
      <w:pPr>
        <w:pStyle w:val="10"/>
        <w:pBdr>
          <w:bottom w:val="thickThinSmallGap" w:sz="24" w:space="1" w:color="FF0000"/>
        </w:pBdr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 xml:space="preserve">и профессиональной переподготовки </w:t>
      </w:r>
      <w:r>
        <w:rPr>
          <w:rFonts w:ascii="Times New Roman" w:eastAsia="Calibri" w:hAnsi="Times New Roman"/>
          <w:b/>
          <w:bCs/>
          <w:color w:val="000080"/>
        </w:rPr>
        <w:t>работников образования»</w:t>
      </w:r>
    </w:p>
    <w:p w:rsidR="00CF34E4" w:rsidRDefault="002C5C76">
      <w:pPr>
        <w:pStyle w:val="10"/>
        <w:pBdr>
          <w:bottom w:val="thickThinSmallGap" w:sz="24" w:space="1" w:color="FF0000"/>
        </w:pBdr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(ГБУ ДПО РО РИПК и ППРО)</w:t>
      </w:r>
    </w:p>
    <w:p w:rsidR="00CF34E4" w:rsidRDefault="00CF34E4">
      <w:pPr>
        <w:pStyle w:val="10"/>
        <w:jc w:val="center"/>
        <w:rPr>
          <w:rFonts w:eastAsia="Calibri"/>
          <w:b/>
          <w:bCs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bCs/>
          <w:color w:val="002060"/>
        </w:rPr>
      </w:pPr>
      <w:r>
        <w:rPr>
          <w:rFonts w:ascii="Times New Roman" w:eastAsia="Calibri" w:hAnsi="Times New Roman"/>
          <w:b/>
          <w:bCs/>
          <w:color w:val="002060"/>
        </w:rPr>
        <w:t>КАФЕДРА ПЕДАГОГИКИ</w:t>
      </w: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  <w:r>
        <w:rPr>
          <w:rFonts w:ascii="Times New Roman" w:eastAsia="Calibri" w:hAnsi="Times New Roman"/>
          <w:b/>
          <w:bCs/>
          <w:color w:val="FF0000"/>
          <w:sz w:val="48"/>
          <w:szCs w:val="48"/>
        </w:rPr>
        <w:t>ЦЕЛЕВАЯ ПРОГРАММА</w:t>
      </w:r>
    </w:p>
    <w:p w:rsidR="00CF34E4" w:rsidRDefault="002C5C76">
      <w:pPr>
        <w:pStyle w:val="affa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 xml:space="preserve">наставничества в Ростовской области </w:t>
      </w:r>
    </w:p>
    <w:p w:rsidR="00CF34E4" w:rsidRDefault="002C5C76">
      <w:pPr>
        <w:pStyle w:val="affa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>до 2024 года</w:t>
      </w:r>
    </w:p>
    <w:p w:rsidR="00CF34E4" w:rsidRDefault="002C5C76">
      <w:pPr>
        <w:pStyle w:val="affa"/>
        <w:spacing w:line="264" w:lineRule="auto"/>
        <w:jc w:val="center"/>
        <w:rPr>
          <w:rFonts w:ascii="Times New Roman" w:eastAsia="Calibri" w:hAnsi="Times New Roman"/>
          <w:b/>
          <w:bC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  <w:t>«В</w:t>
      </w: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>месте к успеху</w:t>
      </w:r>
      <w:r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  <w:t>»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color w:val="000080"/>
        </w:rPr>
      </w:pPr>
      <w:r>
        <w:rPr>
          <w:rFonts w:ascii="Times New Roman" w:eastAsia="Calibri" w:hAnsi="Times New Roman"/>
          <w:color w:val="000080"/>
        </w:rPr>
        <w:t>Ростов-на-Дону</w:t>
      </w:r>
    </w:p>
    <w:p w:rsidR="00CF34E4" w:rsidRDefault="002C5C76">
      <w:pPr>
        <w:pStyle w:val="10"/>
        <w:jc w:val="center"/>
        <w:rPr>
          <w:rFonts w:eastAsia="Calibri"/>
          <w:color w:val="000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753110</wp:posOffset>
                </wp:positionV>
                <wp:extent cx="400685" cy="267335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26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t" style="position:absolute;margin-left:228.3pt;margin-top:59.3pt;width:31.45pt;height:20.95pt">
                <w10:wrap type="none"/>
                <v:fill o:detectmouseclick="t" type="solid" color2="black"/>
                <v:stroke color="white" weight="25560" joinstyle="round" endcap="flat"/>
              </v:rect>
            </w:pict>
          </mc:Fallback>
        </mc:AlternateContent>
      </w:r>
      <w:r>
        <w:rPr>
          <w:rFonts w:ascii="Times New Roman" w:eastAsia="Calibri" w:hAnsi="Times New Roman"/>
          <w:color w:val="000080"/>
        </w:rPr>
        <w:t>2022</w:t>
      </w:r>
      <w:r>
        <w:br w:type="page"/>
      </w: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Разработчик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proofErr w:type="spellStart"/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Лиманская</w:t>
            </w:r>
            <w:proofErr w:type="spellEnd"/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Людмила Ефремовна,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методист кафедры педагогики ГБУ ДПО РО РИПК и ППРО</w:t>
            </w:r>
          </w:p>
        </w:tc>
      </w:tr>
    </w:tbl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Рецензенты: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Андреева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Ольга Сергеевна,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доцент кафедры филологии и искусства, кандидат филологических наук ГБУ ДПО РО РИПК и ППРО</w:t>
            </w: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</w:p>
        </w:tc>
        <w:tc>
          <w:tcPr>
            <w:tcW w:w="6200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Марченко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Елена Петровна,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методист отдела среднего профессионального 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образования, кандидат социологических наук ГБУ ДПО РО РИПК и ППРО</w:t>
            </w: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</w:p>
        </w:tc>
        <w:tc>
          <w:tcPr>
            <w:tcW w:w="6200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Овсяник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Светлана Борисовна,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доцент кафедры психологии ГБУ ДПО РО РИПК и ППРО</w:t>
            </w:r>
          </w:p>
        </w:tc>
      </w:tr>
    </w:tbl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4271645</wp:posOffset>
                </wp:positionV>
                <wp:extent cx="648335" cy="394335"/>
                <wp:effectExtent l="0" t="0" r="1905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39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219.3pt;margin-top:336.35pt;width:50.95pt;height:30.95pt">
                <w10:wrap type="none"/>
                <v:fill o:detectmouseclick="t" type="solid" color2="black"/>
                <v:stroke color="white" weight="25560" joinstyle="round" endcap="flat"/>
              </v:rect>
            </w:pict>
          </mc:Fallback>
        </mc:AlternateContent>
      </w:r>
      <w:r>
        <w:br w:type="page"/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ЦЕЛЕВАЯ ПРОГРАММА НАСТАВНИЧЕСТВА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РОСТОВСКОЙ ОБЛАСТИ ДО 2024 ГОДА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«ВМЕСТЕ К УСПЕХУ»</w:t>
      </w:r>
    </w:p>
    <w:p w:rsidR="00CF34E4" w:rsidRDefault="00CF34E4">
      <w:pPr>
        <w:pStyle w:val="10"/>
        <w:spacing w:line="264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 Общие </w:t>
      </w:r>
      <w:r w:rsidR="00CF77AB">
        <w:rPr>
          <w:rFonts w:ascii="Times New Roman" w:hAnsi="Times New Roman"/>
          <w:b/>
          <w:sz w:val="28"/>
          <w:szCs w:val="28"/>
        </w:rPr>
        <w:t>положения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Целевая программа наставничества «Вместе к успеху» разработана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Федеральным законом РФ от 29.12.2012 № 273-ФЗ «Об образовании в Российской Федерации»;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Паспортом национального проекта «Образование», утвержденным президиумом </w:t>
      </w:r>
      <w:r>
        <w:rPr>
          <w:rFonts w:ascii="Times New Roman" w:hAnsi="Times New Roman"/>
          <w:sz w:val="28"/>
          <w:szCs w:val="28"/>
        </w:rPr>
        <w:t xml:space="preserve">Совета при Президенте Российской Федерации по стратегическому развитию и национальным проектам (протокол от 24.12.2018 № 16);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▪ Распоряжением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25.12.2019 № Р-145 «Об утверждении методологии (целевой модели) наставничества обучающих</w:t>
      </w:r>
      <w:r>
        <w:rPr>
          <w:rFonts w:ascii="Times New Roman" w:hAnsi="Times New Roman"/>
          <w:sz w:val="28"/>
          <w:szCs w:val="28"/>
        </w:rPr>
        <w:t>ся для организаций, осуществляющих образовательную деятельность по общеобразовательным, дополнительным общеобразовательным и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Ме</w:t>
      </w:r>
      <w:r>
        <w:rPr>
          <w:rFonts w:ascii="Times New Roman" w:hAnsi="Times New Roman"/>
          <w:sz w:val="28"/>
          <w:szCs w:val="28"/>
        </w:rPr>
        <w:t xml:space="preserve">тодическими рекомендациями ведомственного проектного офиса национального </w:t>
      </w:r>
      <w:r>
        <w:rPr>
          <w:rFonts w:ascii="Times New Roman" w:hAnsi="Times New Roman"/>
          <w:spacing w:val="-4"/>
          <w:sz w:val="28"/>
          <w:szCs w:val="28"/>
        </w:rPr>
        <w:t>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Министерства просве</w:t>
      </w:r>
      <w:r>
        <w:rPr>
          <w:rFonts w:ascii="Times New Roman" w:hAnsi="Times New Roman"/>
          <w:spacing w:val="-4"/>
          <w:sz w:val="28"/>
          <w:szCs w:val="28"/>
        </w:rPr>
        <w:t xml:space="preserve">щения Российской Федерации от 25 декабря 2019 г. № Р-145;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 xml:space="preserve">▪ Методические рекомендации разработаны в соответствии с пунктом 33 </w:t>
      </w:r>
      <w:r>
        <w:rPr>
          <w:rFonts w:ascii="Times New Roman" w:hAnsi="Times New Roman"/>
          <w:spacing w:val="-6"/>
          <w:sz w:val="28"/>
          <w:szCs w:val="28"/>
        </w:rPr>
        <w:t>распоряжения Правительства Российской Федерации от 31 декабря 2019 г. № 3273-р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(ред. от 20 августа 2021 г.) «Об утверждении основ</w:t>
      </w:r>
      <w:r>
        <w:rPr>
          <w:rFonts w:ascii="Times New Roman" w:hAnsi="Times New Roman"/>
          <w:sz w:val="28"/>
          <w:szCs w:val="28"/>
        </w:rPr>
        <w:t>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</w:t>
      </w:r>
      <w:r>
        <w:rPr>
          <w:rFonts w:ascii="Times New Roman" w:hAnsi="Times New Roman"/>
          <w:sz w:val="28"/>
          <w:szCs w:val="28"/>
        </w:rPr>
        <w:t xml:space="preserve"> «Образование»;</w:t>
      </w:r>
      <w:proofErr w:type="gramEnd"/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Стратегией развития волонтерского движения в России, утвержденной на заседании Комитета Государственной Думы Российской Федерации по делам молодежи (протокол № 45 от 14.05.2010);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Основами государственной молодежной политики Российской Ф</w:t>
      </w:r>
      <w:r>
        <w:rPr>
          <w:rFonts w:ascii="Times New Roman" w:hAnsi="Times New Roman"/>
          <w:sz w:val="28"/>
          <w:szCs w:val="28"/>
        </w:rPr>
        <w:t>едерации на период до 2025 года, утвержденными распоряжением Правительства Российской Федерации от 29.11.2014 № 2403-Рг;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Приказом министерства общего и профессионального образования Ростовской области от 08.06.2020 № 446;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>
        <w:rPr>
          <w:rFonts w:ascii="Times New Roman" w:hAnsi="Times New Roman"/>
          <w:sz w:val="28"/>
          <w:szCs w:val="28"/>
        </w:rPr>
        <w:t xml:space="preserve">Приказом министерства общего и профессионального образования Ростовской области от 04.09.2020 № 712.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Актуальность внедрения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наставничества привлекает внимание педагогического сообщества, прежде всего, как востр</w:t>
      </w:r>
      <w:r>
        <w:rPr>
          <w:rFonts w:ascii="Times New Roman" w:hAnsi="Times New Roman"/>
          <w:sz w:val="28"/>
          <w:szCs w:val="28"/>
        </w:rPr>
        <w:t xml:space="preserve">ебованная и актуальная практика в социальной и образовательной сферах. Эффективность института наставничества для решения воспитательных, образовательных,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иных важных задач доказана и признана на государственном уровне.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 Концепци</w:t>
      </w:r>
      <w:r>
        <w:rPr>
          <w:rFonts w:ascii="Times New Roman" w:hAnsi="Times New Roman"/>
          <w:sz w:val="28"/>
          <w:szCs w:val="28"/>
        </w:rPr>
        <w:t>и общенациональной системы выявления и развития молодых талантов (утверждена Президентом Российской Федерации 03.04.2010 № Пр-827) идет речь о важности наставничества: «Основное внимание должно быть уделено повышению профессионального мастерства учителей и</w:t>
      </w:r>
      <w:r>
        <w:rPr>
          <w:rFonts w:ascii="Times New Roman" w:hAnsi="Times New Roman"/>
          <w:sz w:val="28"/>
          <w:szCs w:val="28"/>
        </w:rPr>
        <w:t xml:space="preserve"> наставников, обеспечению высококачественного содержания образовательных программ, внедрению современных средств обучения».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этим, ведущая роль наставничества отведена реализации национального проекта «Образование» (</w:t>
      </w: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в 2018 году). В  рамка</w:t>
      </w:r>
      <w:r>
        <w:rPr>
          <w:rFonts w:ascii="Times New Roman" w:hAnsi="Times New Roman"/>
          <w:sz w:val="28"/>
          <w:szCs w:val="28"/>
        </w:rPr>
        <w:t>х реализации региональных проектов планируется вовлечь в различные формы наставничества и сопровождения к 2024 году не менее 70 % обучающихся и 70 % педагогических работников общеобразовательных организаций.</w:t>
      </w:r>
    </w:p>
    <w:p w:rsidR="00CF34E4" w:rsidRDefault="002C5C76">
      <w:pPr>
        <w:pStyle w:val="10"/>
        <w:spacing w:line="312" w:lineRule="auto"/>
      </w:pPr>
      <w:r>
        <w:rPr>
          <w:rFonts w:ascii="Times New Roman" w:hAnsi="Times New Roman"/>
          <w:sz w:val="28"/>
          <w:szCs w:val="28"/>
        </w:rPr>
        <w:t>В качестве концептуального обоснования внедрения</w:t>
      </w:r>
      <w:r>
        <w:rPr>
          <w:rFonts w:ascii="Times New Roman" w:hAnsi="Times New Roman"/>
          <w:sz w:val="28"/>
          <w:szCs w:val="28"/>
        </w:rPr>
        <w:t xml:space="preserve"> целевой программы наставничества в образовательных организациях выдвигаются следующие положения: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содействует развитию личности, способной раскрывать свой потенциал в новых условиях нестабильности и неопределенности;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предс</w:t>
      </w:r>
      <w:r>
        <w:rPr>
          <w:rFonts w:ascii="Times New Roman" w:hAnsi="Times New Roman"/>
          <w:sz w:val="28"/>
          <w:szCs w:val="28"/>
        </w:rPr>
        <w:t xml:space="preserve">тавляет перспективную технологию, отвечающую на потребность образовательной системы переходить от модели трансляции знаний к модели формирования </w:t>
      </w:r>
      <w:proofErr w:type="spellStart"/>
      <w:r>
        <w:rPr>
          <w:rFonts w:ascii="Times New Roman" w:hAnsi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обучающегося;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программа наставничества способна внести весомый вклад в достижение целей, обоз</w:t>
      </w:r>
      <w:r>
        <w:rPr>
          <w:rFonts w:ascii="Times New Roman" w:hAnsi="Times New Roman"/>
          <w:sz w:val="28"/>
          <w:szCs w:val="28"/>
        </w:rPr>
        <w:t xml:space="preserve">наченных национальным проектом «Образование».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внедрения целевой программы наставничества также объясняется возможностью и необходимостью охвата всей территории Ростовской области, вовлечение обучающихся, молодых педагогов, работодателей в раз</w:t>
      </w:r>
      <w:r>
        <w:rPr>
          <w:rFonts w:ascii="Times New Roman" w:hAnsi="Times New Roman"/>
          <w:sz w:val="28"/>
          <w:szCs w:val="28"/>
        </w:rPr>
        <w:t xml:space="preserve">личные формы программ наставничества на регулярной основе.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Цели и задачи внедрения цел</w:t>
      </w:r>
      <w:r w:rsidR="00CF77AB">
        <w:rPr>
          <w:rFonts w:ascii="Times New Roman" w:hAnsi="Times New Roman"/>
          <w:b/>
          <w:sz w:val="28"/>
          <w:szCs w:val="28"/>
        </w:rPr>
        <w:t>евой программы   наставничества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внедрения целевой программы наставничества в Ростовской области: максимально полное раскрытие потенциала личности </w:t>
      </w:r>
      <w:r>
        <w:rPr>
          <w:rFonts w:ascii="Times New Roman" w:hAnsi="Times New Roman"/>
          <w:sz w:val="28"/>
          <w:szCs w:val="28"/>
        </w:rPr>
        <w:t>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</w:t>
      </w:r>
      <w:r>
        <w:rPr>
          <w:rFonts w:ascii="Times New Roman" w:hAnsi="Times New Roman"/>
          <w:sz w:val="28"/>
          <w:szCs w:val="28"/>
        </w:rPr>
        <w:t>я в возрасте от 10 лет,  педагогических работников разных уровней образования и молодых специалистов, проживающих на территории Ростовской области.</w:t>
      </w:r>
      <w:proofErr w:type="gramEnd"/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 xml:space="preserve">внедрения целевой программы наставничества: 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обучающегося к самостоятельной, осознанной</w:t>
      </w:r>
      <w:r>
        <w:rPr>
          <w:rFonts w:ascii="Times New Roman" w:hAnsi="Times New Roman"/>
          <w:sz w:val="28"/>
          <w:szCs w:val="28"/>
        </w:rPr>
        <w:t xml:space="preserve">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раскрытие личностного, творческого потенциала каждого обуча</w:t>
      </w:r>
      <w:r>
        <w:rPr>
          <w:rFonts w:ascii="Times New Roman" w:hAnsi="Times New Roman"/>
          <w:sz w:val="28"/>
          <w:szCs w:val="28"/>
        </w:rPr>
        <w:t>ющегося, поддержка формирования и развития индивидуальной образовательной траектории;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</w:t>
      </w:r>
      <w:r>
        <w:rPr>
          <w:rFonts w:ascii="Times New Roman" w:hAnsi="Times New Roman"/>
          <w:sz w:val="28"/>
          <w:szCs w:val="28"/>
        </w:rPr>
        <w:t xml:space="preserve">ние условия для самоопределения и профессиональной </w:t>
      </w:r>
      <w:proofErr w:type="gramStart"/>
      <w:r>
        <w:rPr>
          <w:rFonts w:ascii="Times New Roman" w:hAnsi="Times New Roman"/>
          <w:sz w:val="28"/>
          <w:szCs w:val="28"/>
        </w:rPr>
        <w:t>ориентации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осознанному выбору будущей профессиональной деятельности;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открытого и эффективного сообщества вокруг образовательной организации, способного на комплексную поддержку е</w:t>
      </w:r>
      <w:r>
        <w:rPr>
          <w:rFonts w:ascii="Times New Roman" w:hAnsi="Times New Roman"/>
          <w:sz w:val="28"/>
          <w:szCs w:val="28"/>
        </w:rPr>
        <w:t xml:space="preserve">е деятельности, в </w:t>
      </w:r>
      <w:proofErr w:type="gramStart"/>
      <w:r>
        <w:rPr>
          <w:rFonts w:ascii="Times New Roman" w:hAnsi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выстроены доверительные и партнерские отношения;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улучшение показателей организаций, осуществляющих деятельность по </w:t>
      </w:r>
      <w:proofErr w:type="gramStart"/>
      <w:r>
        <w:rPr>
          <w:rFonts w:ascii="Times New Roman" w:hAnsi="Times New Roman"/>
          <w:sz w:val="28"/>
          <w:szCs w:val="28"/>
        </w:rPr>
        <w:t>общеобразовательной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, социокультурной, спортивной и других сферах;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социального лифта для каждого </w:t>
      </w:r>
      <w:r>
        <w:rPr>
          <w:rFonts w:ascii="Times New Roman" w:hAnsi="Times New Roman"/>
          <w:sz w:val="28"/>
          <w:szCs w:val="28"/>
        </w:rPr>
        <w:t>посредством конкурсов, дающих гражданам возможности для профессионального и карьерного роста;</w:t>
      </w:r>
    </w:p>
    <w:p w:rsidR="00CF34E4" w:rsidRDefault="002C5C76">
      <w:pPr>
        <w:pStyle w:val="Default"/>
        <w:widowControl w:val="0"/>
        <w:spacing w:line="264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</w:t>
      </w:r>
      <w:r>
        <w:rPr>
          <w:color w:val="auto"/>
          <w:sz w:val="28"/>
          <w:szCs w:val="28"/>
        </w:rPr>
        <w:t>едовательской деятельности, в конкурсах профессионального мастерства);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</w:t>
      </w:r>
      <w:r>
        <w:rPr>
          <w:rFonts w:ascii="Times New Roman" w:hAnsi="Times New Roman"/>
          <w:sz w:val="28"/>
          <w:szCs w:val="28"/>
        </w:rPr>
        <w:t xml:space="preserve"> развития и роста.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lastRenderedPageBreak/>
        <w:t>4. Общие принципы внедрени</w:t>
      </w:r>
      <w:r w:rsidR="00CF77AB">
        <w:rPr>
          <w:rFonts w:ascii="Times New Roman" w:hAnsi="Times New Roman"/>
          <w:b/>
          <w:spacing w:val="-4"/>
          <w:sz w:val="28"/>
          <w:szCs w:val="28"/>
        </w:rPr>
        <w:t>я целевой модели наставничества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целевой программы наставничества в системе образования Ростовской области с учетом российского законодательства, социально-экономических и других, наиболее </w:t>
      </w:r>
      <w:r>
        <w:rPr>
          <w:rFonts w:ascii="Times New Roman" w:hAnsi="Times New Roman"/>
          <w:sz w:val="28"/>
          <w:szCs w:val="28"/>
        </w:rPr>
        <w:t>эффективных условий, с опорой на следующие принципы: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научности (предполагает применение научно обоснованных и проверенных технологий в области наставничества);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системности (предполагает разработку и реализацию программы наставничества с максимальным ох</w:t>
      </w:r>
      <w:r>
        <w:rPr>
          <w:rFonts w:ascii="Times New Roman" w:hAnsi="Times New Roman"/>
          <w:sz w:val="28"/>
          <w:szCs w:val="28"/>
        </w:rPr>
        <w:t xml:space="preserve">ватом всех необходимых компонентов);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стратегической целостности (определяет необходимость единой целостной стратегии реализации программы наставничества);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▪ легитимности (требует соответствия деятельности по реализации программы наставничества законода</w:t>
      </w:r>
      <w:r>
        <w:rPr>
          <w:rFonts w:ascii="Times New Roman" w:hAnsi="Times New Roman"/>
          <w:sz w:val="28"/>
          <w:szCs w:val="28"/>
        </w:rPr>
        <w:t>тельству Российской Федерации и нормам международного права);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</w:t>
      </w:r>
      <w:r>
        <w:rPr>
          <w:rFonts w:ascii="Times New Roman" w:hAnsi="Times New Roman"/>
          <w:sz w:val="28"/>
          <w:szCs w:val="28"/>
        </w:rPr>
        <w:t xml:space="preserve">ем);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proofErr w:type="spellStart"/>
      <w:r>
        <w:rPr>
          <w:rFonts w:ascii="Times New Roman" w:hAnsi="Times New Roman"/>
          <w:sz w:val="28"/>
          <w:szCs w:val="28"/>
        </w:rPr>
        <w:t>аксиологичности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продвижения благополучия и безопасности подростка (принцип «не навреди») (п</w:t>
      </w:r>
      <w:r>
        <w:rPr>
          <w:rFonts w:ascii="Times New Roman" w:hAnsi="Times New Roman"/>
          <w:sz w:val="28"/>
          <w:szCs w:val="28"/>
        </w:rPr>
        <w:t xml:space="preserve">редполагает реализацию программы наставничества таким образом, чтобы максимально </w:t>
      </w:r>
      <w:proofErr w:type="gramStart"/>
      <w:r>
        <w:rPr>
          <w:rFonts w:ascii="Times New Roman" w:hAnsi="Times New Roman"/>
          <w:sz w:val="28"/>
          <w:szCs w:val="28"/>
        </w:rPr>
        <w:t>избежать</w:t>
      </w:r>
      <w:proofErr w:type="gramEnd"/>
      <w:r>
        <w:rPr>
          <w:rFonts w:ascii="Times New Roman" w:hAnsi="Times New Roman"/>
          <w:sz w:val="28"/>
          <w:szCs w:val="28"/>
        </w:rPr>
        <w:t xml:space="preserve"> риска нанесения вреда наставляемому (никакие обстоятельства или интересы наставника, или программы не могут препятствовать интересам наставляемого);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▪ личной ответст</w:t>
      </w:r>
      <w:r>
        <w:rPr>
          <w:rFonts w:ascii="Times New Roman" w:hAnsi="Times New Roman"/>
          <w:sz w:val="28"/>
          <w:szCs w:val="28"/>
        </w:rPr>
        <w:t xml:space="preserve">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 </w:t>
      </w:r>
      <w:proofErr w:type="gramEnd"/>
    </w:p>
    <w:p w:rsidR="00CF34E4" w:rsidRDefault="002C5C76">
      <w:pPr>
        <w:pStyle w:val="10"/>
        <w:spacing w:line="312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▪ равенства (признает, что программа наставничества реализуется людь</w:t>
      </w:r>
      <w:r>
        <w:rPr>
          <w:rFonts w:ascii="Times New Roman" w:hAnsi="Times New Roman"/>
          <w:spacing w:val="-4"/>
          <w:sz w:val="28"/>
          <w:szCs w:val="28"/>
        </w:rPr>
        <w:t xml:space="preserve">ми и имеющими разные гендерные, культурные, национальные, религиозные и другие особенности).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 Этапы и модели реализации целевой программы настав</w:t>
      </w:r>
      <w:r w:rsidR="00CF77AB">
        <w:rPr>
          <w:rFonts w:ascii="Times New Roman" w:hAnsi="Times New Roman"/>
          <w:b/>
          <w:sz w:val="28"/>
          <w:szCs w:val="28"/>
        </w:rPr>
        <w:t>ничества в Ростовской   области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успешного внедрения программы наставничества в Ростовской области </w:t>
      </w:r>
      <w:r>
        <w:rPr>
          <w:rFonts w:ascii="Times New Roman" w:hAnsi="Times New Roman"/>
          <w:sz w:val="28"/>
          <w:szCs w:val="28"/>
        </w:rPr>
        <w:t>определены ее участники, обозначены их взаимодействие и коммуникации. Реализация программы наставничества будет ориентирована на достижение результатов региональных проектов «Современная школа», «Успех каждого ребёнка», «Школа молодого учителя», «Учитель б</w:t>
      </w:r>
      <w:r>
        <w:rPr>
          <w:rFonts w:ascii="Times New Roman" w:hAnsi="Times New Roman"/>
          <w:sz w:val="28"/>
          <w:szCs w:val="28"/>
        </w:rPr>
        <w:t>удущего».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 в рамках внедрения целевой модели наставничества: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этап – констатирующий этап. Анализ современного состояния исследуемой проблемы в педагогической теории и практике, разработка концептуальных основ региональной системы становления и р</w:t>
      </w:r>
      <w:r>
        <w:rPr>
          <w:rFonts w:ascii="Times New Roman" w:hAnsi="Times New Roman"/>
          <w:sz w:val="28"/>
          <w:szCs w:val="28"/>
        </w:rPr>
        <w:t xml:space="preserve">азвития наставнической деятельности педагогических и руководящих кадров на основе сетевого взаимодействия, анализ зарубежного, отечественного и регионального опыта наставнической деятельности в системе образования, разработка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 соврем</w:t>
      </w:r>
      <w:r>
        <w:rPr>
          <w:rFonts w:ascii="Times New Roman" w:hAnsi="Times New Roman"/>
          <w:sz w:val="28"/>
          <w:szCs w:val="28"/>
        </w:rPr>
        <w:t>енного наставника и   локальной нормативной базы.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анкетирование, опрос, «круглый стол».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этап – основной этап. Апробация модели наставнической деятельности педагогических и руководящих кадров на основе сетевого взаимодействия, научно-методическое</w:t>
      </w:r>
      <w:r>
        <w:rPr>
          <w:rFonts w:ascii="Times New Roman" w:hAnsi="Times New Roman"/>
          <w:sz w:val="28"/>
          <w:szCs w:val="28"/>
        </w:rPr>
        <w:t xml:space="preserve"> обеспечение процесса. Организационная, методическая, экспертно-консультационная, информационная и просветительская поддержка участников внедрения целевой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сбор статистической информации, «круглые столы», опрос, анкетирован</w:t>
      </w:r>
      <w:r>
        <w:rPr>
          <w:rFonts w:ascii="Times New Roman" w:hAnsi="Times New Roman"/>
          <w:sz w:val="28"/>
          <w:szCs w:val="28"/>
        </w:rPr>
        <w:t xml:space="preserve">ие, обучение через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 этап – контрольный этап. Анализ результатов внедрения модели наставнической деятельности педагогических и руководящих кадров на основе сетевого взаимодействия,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 современного наставника, содерж</w:t>
      </w:r>
      <w:r>
        <w:rPr>
          <w:rFonts w:ascii="Times New Roman" w:hAnsi="Times New Roman"/>
          <w:sz w:val="28"/>
          <w:szCs w:val="28"/>
        </w:rPr>
        <w:t xml:space="preserve">ания учебно-методического обеспечения. Сбор </w:t>
      </w:r>
      <w:proofErr w:type="gramStart"/>
      <w:r>
        <w:rPr>
          <w:rFonts w:ascii="Times New Roman" w:hAnsi="Times New Roman"/>
          <w:sz w:val="28"/>
          <w:szCs w:val="28"/>
        </w:rPr>
        <w:t>результатов мониторинга реализации программ наставничества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в муниципальных и общеобразовательных организациях Ростовской области.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статистическая обработка данных, опрос, анкетирование, мониторинг.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 этап</w:t>
      </w:r>
      <w:r>
        <w:rPr>
          <w:rFonts w:ascii="Times New Roman" w:hAnsi="Times New Roman"/>
          <w:sz w:val="28"/>
          <w:szCs w:val="28"/>
        </w:rPr>
        <w:t xml:space="preserve"> – обобщающий. Создание методических материалов в целях тиражирования опыта.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</w:rPr>
        <w:t>Методы:</w:t>
      </w:r>
      <w:r>
        <w:rPr>
          <w:rFonts w:ascii="Times New Roman" w:hAnsi="Times New Roman"/>
          <w:spacing w:val="-4"/>
          <w:sz w:val="28"/>
          <w:szCs w:val="28"/>
        </w:rPr>
        <w:t xml:space="preserve"> публикация результатов в СМИ, трансляция на конференциях и семинарах.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 форм наставничества:</w:t>
      </w:r>
      <w:r>
        <w:rPr>
          <w:rFonts w:ascii="Times New Roman" w:hAnsi="Times New Roman"/>
          <w:sz w:val="28"/>
          <w:szCs w:val="28"/>
        </w:rPr>
        <w:t xml:space="preserve"> «Ученик – ученик», «Учитель – учитель», «Учитель – </w:t>
      </w:r>
      <w:r>
        <w:rPr>
          <w:rFonts w:ascii="Times New Roman" w:hAnsi="Times New Roman"/>
          <w:sz w:val="28"/>
          <w:szCs w:val="28"/>
        </w:rPr>
        <w:t>ученик», «Работодатель –  ученик», «Студент – ученик».</w: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Принципы наставничества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object w:dxaOrig="7330" w:dyaOrig="2420">
          <v:shape id="ole_rId2" o:spid="_x0000_i1025" style="width:366.5pt;height:121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CorelDRAW.Graphic.14" ShapeID="ole_rId2" DrawAspect="Content" ObjectID="_1705152343" r:id="rId9"/>
        </w:objec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Направления деятельности, обеспечивающие реализацию целевой программы наставничества в соответствии</w:t>
      </w:r>
      <w:r w:rsidR="00CF77AB">
        <w:rPr>
          <w:rFonts w:ascii="Times New Roman" w:hAnsi="Times New Roman"/>
          <w:b/>
          <w:sz w:val="28"/>
          <w:szCs w:val="28"/>
        </w:rPr>
        <w:t xml:space="preserve"> с уровнем структуры управления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753"/>
        <w:gridCol w:w="7214"/>
      </w:tblGrid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Уровни структуры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Направления деятельности</w:t>
            </w:r>
          </w:p>
        </w:tc>
      </w:tr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/>
                <w:b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/>
                <w:b/>
                <w:sz w:val="12"/>
                <w:szCs w:val="12"/>
                <w:lang w:eastAsia="en-US"/>
              </w:rPr>
              <w:t>2</w:t>
            </w:r>
          </w:p>
        </w:tc>
      </w:tr>
      <w:tr w:rsidR="00CF34E4">
        <w:trPr>
          <w:trHeight w:val="1550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Министерство общего и профессионального образования Ростовской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области (далее  – министерство),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 (далее – ГБУ ДПО РО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РИПК и ППРО)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1. Осуществляют координацию и внедрение целевой программы наставничества  «Вместе к успеху»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2. Обеспечивают реализацию мероприятий по внедрению целевой программы наставничества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3. Обеспечивают развити</w:t>
            </w:r>
            <w:r>
              <w:rPr>
                <w:rFonts w:ascii="Times New Roman" w:eastAsiaTheme="minorHAnsi" w:hAnsi="Times New Roman"/>
                <w:lang w:eastAsia="en-US"/>
              </w:rPr>
              <w:t>е материально-технической базы, инфраструктуры и кадрового потенциала организаций, осуществляющих деятельность по реализации региональной программы наставничества.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4. Разрабатывают «Методические рекомендации по внедрению программы наставничества «Вместе к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успеху» для муниципальных и общеобразовательных организаций, осуществляющих образовательную деятельность в Ростовской области».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5. Реализуют меры по обеспечению доступности программы наставничества для 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с особыми образовательными потребностями </w:t>
            </w:r>
            <w:r>
              <w:rPr>
                <w:rFonts w:ascii="Times New Roman" w:eastAsiaTheme="minorHAnsi" w:hAnsi="Times New Roman"/>
                <w:lang w:eastAsia="en-US"/>
              </w:rPr>
              <w:t>и индивидуальными возможностями, в том числе для обучающихся: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с ограниченными возможностями здоровья (ОВЗ);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- одаренных и талантливых;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попавших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в трудную жизненную ситуацию;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- из малоимущих семей, проживающих в сельской местности, детей-сирот </w:t>
            </w:r>
            <w:r>
              <w:rPr>
                <w:rFonts w:ascii="Times New Roman" w:eastAsiaTheme="minorHAnsi" w:hAnsi="Times New Roman"/>
                <w:lang w:eastAsia="en-US"/>
              </w:rPr>
              <w:t>(оставшихся без попечения родителей);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- развитие гибких навыков, лидерских качеств,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метакомпетенций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</w:t>
            </w:r>
            <w:r>
              <w:rPr>
                <w:rFonts w:ascii="Times New Roman" w:eastAsiaTheme="minorHAnsi" w:hAnsi="Times New Roman"/>
                <w:lang w:eastAsia="en-US"/>
              </w:rPr>
              <w:t>изменениям на рынке труда, менять сферу деятельности и т.д.).</w:t>
            </w:r>
          </w:p>
          <w:p w:rsidR="00CF34E4" w:rsidRDefault="002C5C76">
            <w:pPr>
              <w:pStyle w:val="1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6. Развитие гибких навыков, лидерских качеств,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метакомпетенций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педагогов как основы успешной, самостоятельной и ответственной деятельности в современном мире (в том числе готовность учиться в те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чение всей жизни, адаптироваться к изменениям на рынке труда) </w:t>
            </w:r>
          </w:p>
        </w:tc>
      </w:tr>
    </w:tbl>
    <w:p w:rsidR="00CF34E4" w:rsidRDefault="00CF34E4">
      <w:pPr>
        <w:pStyle w:val="10"/>
      </w:pP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753"/>
        <w:gridCol w:w="7214"/>
      </w:tblGrid>
      <w:tr w:rsidR="00CF34E4">
        <w:trPr>
          <w:trHeight w:val="50"/>
        </w:trPr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/>
                <w:b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/>
                <w:b/>
                <w:sz w:val="12"/>
                <w:szCs w:val="12"/>
                <w:lang w:eastAsia="en-US"/>
              </w:rPr>
              <w:t>2</w:t>
            </w:r>
          </w:p>
        </w:tc>
      </w:tr>
      <w:tr w:rsidR="00CF34E4">
        <w:trPr>
          <w:trHeight w:val="114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ГБУ ДПО РО РИПК</w:t>
            </w:r>
          </w:p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 ППРО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1. Обеспечивает: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- организационную, методическую, экспертно-консультационную, информационную и просветительскую поддержку участников внедрения целевой программы </w:t>
            </w:r>
            <w:r>
              <w:rPr>
                <w:rFonts w:ascii="Times New Roman" w:eastAsiaTheme="minorHAnsi" w:hAnsi="Times New Roman"/>
                <w:lang w:eastAsia="en-US"/>
              </w:rPr>
              <w:t>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- выработку предложений по совместному использованию инфраструктуры в целях внедрения целевой программы наставничества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- организацию мониторинга реализации программы наставничества в образовательных организациях Ростов</w:t>
            </w:r>
            <w:r>
              <w:rPr>
                <w:rFonts w:ascii="Times New Roman" w:eastAsiaTheme="minorHAnsi" w:hAnsi="Times New Roman"/>
                <w:lang w:eastAsia="en-US"/>
              </w:rPr>
              <w:t>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проведение курсов   повышения квалификации педагогов по темам: «Методические рекомендации по составлению программы наставничества в общеобразовательных организациях», «Наставничество – положение, формы и опыт», «Деятельность наставника по п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едагогическому сопровождению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компетентностного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развития молодых педагогов в условиях реализации ФГОС и формирования НСУР», «Наставничество как инструмент повышения профессиональной компетентности молодых специалистов-психологов образования» и т.д.;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форми</w:t>
            </w:r>
            <w:r>
              <w:rPr>
                <w:rFonts w:ascii="Times New Roman" w:eastAsiaTheme="minorHAnsi" w:hAnsi="Times New Roman"/>
                <w:lang w:eastAsia="en-US"/>
              </w:rPr>
              <w:t>рование регионального банка программ наставничества и лучших практик;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реализация наставников и кураторов в различных формах, в том числе с применением дистанционных технологий.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2. Оказывает содействие: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- распространению и внедрению лучших наставнических </w:t>
            </w:r>
            <w:r>
              <w:rPr>
                <w:rFonts w:ascii="Times New Roman" w:eastAsiaTheme="minorHAnsi" w:hAnsi="Times New Roman"/>
                <w:lang w:eastAsia="en-US"/>
              </w:rPr>
              <w:t>практик различных форм и ролевых моделей для обучающихся, педагогов и молодых специалистов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привлечению к реализации наставнических программ образовательных организаций, предприятий и организаций Ростовской области, государственных (му</w:t>
            </w:r>
            <w:r>
              <w:rPr>
                <w:rFonts w:ascii="Times New Roman" w:eastAsiaTheme="minorHAnsi" w:hAnsi="Times New Roman"/>
                <w:lang w:eastAsia="en-US"/>
              </w:rPr>
              <w:t>ниципальных)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3. Организует разработку предложений по совершенствованию системы внедрения целевой прог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раммы наставничества в Ростовской области. 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4. Создает электронную площадку «Вместе к успеху».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5. Распространяет опыт развития наставнической деятельности педагогических и руководящих кадров на основе сетевого взаимодействия; будет осуществляться через п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убликации, проведение методических семинаров, мастер-классов «Вместе к успеху»,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вебинаров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«Карусель наставнических практик: опыт муниципальных и общеобразовательных организаций региона», «Алгоритм внедрения целевой программы наставничества в общеобразовате</w:t>
            </w:r>
            <w:r>
              <w:rPr>
                <w:rFonts w:ascii="Times New Roman" w:eastAsiaTheme="minorHAnsi" w:hAnsi="Times New Roman"/>
                <w:lang w:eastAsia="en-US"/>
              </w:rPr>
              <w:t>льных организациях Ростовской области» и т.д.</w:t>
            </w:r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"/>
          <w:szCs w:val="2"/>
        </w:rPr>
      </w:pP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579"/>
        <w:gridCol w:w="7388"/>
      </w:tblGrid>
      <w:tr w:rsidR="00CF34E4">
        <w:trPr>
          <w:trHeight w:val="50"/>
        </w:trPr>
        <w:tc>
          <w:tcPr>
            <w:tcW w:w="2523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/>
                <w:b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eastAsiaTheme="minorHAnsi" w:hAnsi="Times New Roman"/>
                <w:b/>
                <w:sz w:val="12"/>
                <w:szCs w:val="12"/>
                <w:lang w:eastAsia="en-US"/>
              </w:rPr>
              <w:t>2</w:t>
            </w:r>
          </w:p>
        </w:tc>
      </w:tr>
      <w:tr w:rsidR="00CF34E4">
        <w:trPr>
          <w:trHeight w:val="2420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муниципальных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органов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образования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1. Организуют: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- внедрение целевой программы наставничества  «Вместе к успеху» в организациях, осуществляющих </w:t>
            </w:r>
            <w:r>
              <w:rPr>
                <w:rFonts w:ascii="Times New Roman" w:eastAsiaTheme="minorHAnsi" w:hAnsi="Times New Roman"/>
                <w:lang w:eastAsia="en-US"/>
              </w:rPr>
              <w:t>образовательную деятельность по общеобразовательным программам, исходя из планируемых результатов внедрения целевой программы наставничества 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- контроль реализации мероприятий по внедрению целевой программы наставничества в муниципаль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ных образовательных организациях на весь период реализации с 2020 по 2024 годы.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2. Обеспечивают: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достижение показателей результата по внедрению целевой программы наставничества в муниципальных образованиях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разработку муниципальными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общеобразовательными   организациями «дорожных карт»;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ведение муниципальными образовательными организациями учета обучающихся, молодых специалистов и педагогов, участвующих в программах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формирование муниципального банка программ настав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ничества и лучших практик;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предоставление данных по результатам мониторинга  своей территории с периодичностью 1 раз в год и в сроки, установленные ГБУ ДПО РО РИПК и ППРО;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организация и проведение ежегодного конкурса на лучшего наставника на муниципал</w:t>
            </w:r>
            <w:r>
              <w:rPr>
                <w:rFonts w:ascii="Times New Roman" w:eastAsiaTheme="minorHAnsi" w:hAnsi="Times New Roman"/>
                <w:lang w:eastAsia="en-US"/>
              </w:rPr>
              <w:t>ьном уровне</w:t>
            </w:r>
          </w:p>
        </w:tc>
      </w:tr>
      <w:tr w:rsidR="00CF34E4">
        <w:trPr>
          <w:trHeight w:val="4378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общеобразовательных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организаций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1. Назначают лицо, ответственное за внедрение целевой программы наставничества в образовательной организации (куратора).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2. Обеспечивают: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- реализацию региональной модели наставничества;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ведение персонифицированного учета наставляемых и наставников согласно   целевой программе 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- участие в мониторинге реализации программ наставничества в образовательных организациях Ростовской области, организовав представление образовательной организацией данных по результатам мониторинга в ГБУ ДПО РО РИПК и ППРО;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помощь в повышении уровня пр</w:t>
            </w:r>
            <w:r>
              <w:rPr>
                <w:rFonts w:ascii="Times New Roman" w:eastAsiaTheme="minorHAnsi" w:hAnsi="Times New Roman"/>
                <w:lang w:eastAsia="en-US"/>
              </w:rPr>
              <w:t>офессионального мастерства педагогических работников, задействованных в реализации целевой программы наставничества, в формате непрерывного образования;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привлечение к реализации программ наставничества организаций, осуществляющих деятельность в Ростовско</w:t>
            </w:r>
            <w:r>
              <w:rPr>
                <w:rFonts w:ascii="Times New Roman" w:eastAsiaTheme="minorHAnsi" w:hAnsi="Times New Roman"/>
                <w:lang w:eastAsia="en-US"/>
              </w:rPr>
              <w:t>й области, обеспечив участие работников организаций в качестве наставников;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- реализацию системы поощрений наставников;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распространение лучших практик и примеров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- информирование предполагаемых участников-партнеров о возможностях програм</w:t>
            </w:r>
            <w:r>
              <w:rPr>
                <w:rFonts w:ascii="Times New Roman" w:eastAsiaTheme="minorHAnsi" w:hAnsi="Times New Roman"/>
                <w:lang w:eastAsia="en-US"/>
              </w:rPr>
              <w:t>мы наставничества и вариантах их участия;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- психологическое сопровождение 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наставляемых</w:t>
            </w:r>
            <w:proofErr w:type="gramEnd"/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 Планируемые результаты реал</w:t>
      </w:r>
      <w:r w:rsidR="00CF77AB">
        <w:rPr>
          <w:rFonts w:ascii="Times New Roman" w:hAnsi="Times New Roman"/>
          <w:b/>
          <w:sz w:val="28"/>
          <w:szCs w:val="28"/>
        </w:rPr>
        <w:t>изации программы наставничества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Результатом реализации целевой программы наставничества будет повышение уровня </w:t>
      </w:r>
      <w:proofErr w:type="spellStart"/>
      <w:r>
        <w:rPr>
          <w:rFonts w:ascii="Times New Roman" w:hAnsi="Times New Roman"/>
          <w:sz w:val="28"/>
          <w:szCs w:val="28"/>
        </w:rPr>
        <w:t>мотивированности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</w:t>
      </w:r>
      <w:r>
        <w:rPr>
          <w:rFonts w:ascii="Times New Roman" w:hAnsi="Times New Roman"/>
          <w:sz w:val="28"/>
          <w:szCs w:val="28"/>
        </w:rPr>
        <w:t>представителей предприятий, предпринимателей и образовательной организации, занимающихся всесторонней поддержкой талантливой молодежи и образовательных инициатив, рост числа образовательных проектов, улучшение экономического и кадрового потенциалов региона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Измеримыми результатами реализации программы наставничества являются: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успеваемости и улучшение психоэмоционального фона всех участников программы;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численный рост кружков по интересам, а также внеурочных мероприятий по профессиональной п</w:t>
      </w:r>
      <w:r>
        <w:rPr>
          <w:rFonts w:ascii="Times New Roman" w:hAnsi="Times New Roman"/>
          <w:sz w:val="28"/>
          <w:szCs w:val="28"/>
        </w:rPr>
        <w:t>одготовке;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изучение успешно реализованных и представленных результатов проектной деятельности (совместно с наставником);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числа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планирующих стать наставниками в будущем;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улучшение психологического климата в образовательной орг</w:t>
      </w:r>
      <w:r>
        <w:rPr>
          <w:rFonts w:ascii="Times New Roman" w:hAnsi="Times New Roman"/>
          <w:sz w:val="28"/>
          <w:szCs w:val="28"/>
        </w:rPr>
        <w:t>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Определение конкретных задач, которые необходимо решить с помощью программы н</w:t>
      </w:r>
      <w:r>
        <w:rPr>
          <w:rFonts w:ascii="Times New Roman" w:hAnsi="Times New Roman"/>
          <w:sz w:val="28"/>
          <w:szCs w:val="28"/>
        </w:rPr>
        <w:t xml:space="preserve">аставничества, остается за администрацией образовательной организации, исходя из особенностей образовательной организации и района.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 обучающихся, вовлеченных в программу наставничества, ожидается решение следующих проблем: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низкая мотивация к учебе </w:t>
      </w:r>
      <w:r>
        <w:rPr>
          <w:rFonts w:ascii="Times New Roman" w:hAnsi="Times New Roman"/>
          <w:sz w:val="28"/>
          <w:szCs w:val="28"/>
        </w:rPr>
        <w:t>и саморазвитию, неудовлетворительная успеваемость;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осознанной позиции, необходимой для выбора образовательной траектории и будущей профессиональной реализации;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качественной самореализации в рамках стандартной школьной программы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условий для формирования активной гражданской позиции;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низкая информированность о перспективах самостоятельного выбора векторов творческого развития, карьерных и иных возможностей;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кризис идентификации, разрушение или низкий уровень </w:t>
      </w:r>
      <w:proofErr w:type="spellStart"/>
      <w:r>
        <w:rPr>
          <w:rFonts w:ascii="Times New Roman" w:hAnsi="Times New Roman"/>
          <w:sz w:val="28"/>
          <w:szCs w:val="28"/>
        </w:rPr>
        <w:t>сф</w:t>
      </w:r>
      <w:r>
        <w:rPr>
          <w:rFonts w:ascii="Times New Roman" w:hAnsi="Times New Roman"/>
          <w:sz w:val="28"/>
          <w:szCs w:val="28"/>
        </w:rPr>
        <w:t>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ценностных и жизненных позиций и ориентиров;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конфликтность, неразвитые коммуникативные навыки, затрудняющие </w:t>
      </w:r>
      <w:r>
        <w:rPr>
          <w:rFonts w:ascii="Times New Roman" w:hAnsi="Times New Roman"/>
          <w:sz w:val="28"/>
          <w:szCs w:val="28"/>
        </w:rPr>
        <w:lastRenderedPageBreak/>
        <w:t>горизонтальное и вертикальное социальное движение;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отсутствие условий для формирования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 и </w:t>
      </w:r>
      <w:proofErr w:type="spellStart"/>
      <w:r>
        <w:rPr>
          <w:rFonts w:ascii="Times New Roman" w:hAnsi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порог вхождения в образовательные программы, программы развития талантливых школьников;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</w:t>
      </w:r>
      <w:r>
        <w:rPr>
          <w:rFonts w:ascii="Times New Roman" w:hAnsi="Times New Roman"/>
          <w:sz w:val="28"/>
          <w:szCs w:val="28"/>
        </w:rPr>
        <w:t>го и регулярной качественной поддержки;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адаптации в (новом) учебном коллективе: психологические, организационные и социальные.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Отдельным блоком можно выделить решение проблем детей с ограниченными возможностями здоровья (далее – ОВЗ). Их   вк</w:t>
      </w:r>
      <w:r>
        <w:rPr>
          <w:rFonts w:ascii="Times New Roman" w:hAnsi="Times New Roman"/>
          <w:sz w:val="28"/>
          <w:szCs w:val="28"/>
        </w:rPr>
        <w:t xml:space="preserve">лючение в систему наставнических отношений будет способствовать качественному развитию системы инклюзивного образования в общеобразовательных организациях с привлечением обычных учеников. </w:t>
      </w:r>
      <w:r>
        <w:rPr>
          <w:rFonts w:ascii="Times New Roman" w:hAnsi="Times New Roman"/>
          <w:sz w:val="28"/>
          <w:szCs w:val="28"/>
        </w:rPr>
        <w:t>Трудно подобрать наставника для ребенка с ОВЗ. Большую роль в этом в</w:t>
      </w:r>
      <w:r>
        <w:rPr>
          <w:rFonts w:ascii="Times New Roman" w:hAnsi="Times New Roman"/>
          <w:sz w:val="28"/>
          <w:szCs w:val="28"/>
        </w:rPr>
        <w:t>опросе   играет не только наличие соответствующих дипломов об образовании, достижений в данном профессиональном поле, но и личностная, мотивационная готовность взрослого человека оказать помощь ребенку с особыми образовательными потребностями.</w:t>
      </w:r>
      <w:r>
        <w:rPr>
          <w:rFonts w:ascii="Times New Roman" w:hAnsi="Times New Roman"/>
          <w:sz w:val="28"/>
          <w:szCs w:val="28"/>
        </w:rPr>
        <w:t xml:space="preserve"> Наставники д</w:t>
      </w:r>
      <w:r>
        <w:rPr>
          <w:rFonts w:ascii="Times New Roman" w:hAnsi="Times New Roman"/>
          <w:sz w:val="28"/>
          <w:szCs w:val="28"/>
        </w:rPr>
        <w:t xml:space="preserve">олжны подойти осознанно к работе с данной категорией обучающихся, быть готовыми к сложным ситуациям </w:t>
      </w:r>
      <w:proofErr w:type="gramStart"/>
      <w:r>
        <w:rPr>
          <w:rFonts w:ascii="Times New Roman" w:hAnsi="Times New Roman"/>
          <w:sz w:val="28"/>
          <w:szCs w:val="28"/>
        </w:rPr>
        <w:t>взаимодействия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 самим ребенком, так и с его окружением.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Основные проблемы, которые будут решены при реализации программы наставничества в образовательной организации региона: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невключенность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с ОВЗ в образовательный процесс в силу психоэмоциональных затруднений, общая отстраненность, низкая мотивация </w:t>
      </w:r>
      <w:r>
        <w:rPr>
          <w:rFonts w:ascii="Times New Roman" w:hAnsi="Times New Roman"/>
          <w:sz w:val="28"/>
          <w:szCs w:val="28"/>
        </w:rPr>
        <w:t>к обучению;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коммуникационные проблемы, возникающие вследствие непринятия ребенка коллективом;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психолого-педагогическая работа по воспитанию качеств, необходимых для овладения той или иной профессией.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Для оценки вовлеченности участие в программе </w:t>
      </w:r>
      <w:r>
        <w:rPr>
          <w:rFonts w:ascii="Times New Roman" w:hAnsi="Times New Roman"/>
          <w:sz w:val="28"/>
          <w:szCs w:val="28"/>
        </w:rPr>
        <w:t>наставничества понимается как прохождение участником полного цикла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 помощью внедрения наставничества в образовательные организации можно добиться комплексного улучшения образовательных и экономических результатов. Таким образо</w:t>
      </w:r>
      <w:r>
        <w:rPr>
          <w:rFonts w:ascii="Times New Roman" w:hAnsi="Times New Roman"/>
          <w:sz w:val="28"/>
          <w:szCs w:val="28"/>
        </w:rPr>
        <w:t xml:space="preserve">м, могут сформироваться устойчивые способы взаимодействия между системами и поколениями, чувство сопричастности к жизни и развитию региона. </w:t>
      </w:r>
    </w:p>
    <w:p w:rsidR="00CF34E4" w:rsidRDefault="00CF34E4">
      <w:pPr>
        <w:pStyle w:val="10"/>
        <w:spacing w:line="264" w:lineRule="auto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Мониторинг и оценка результатов реализации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  <w:bookmarkStart w:id="0" w:name="_GoBack"/>
      <w:bookmarkEnd w:id="0"/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процесса реализации про</w:t>
      </w:r>
      <w:r>
        <w:rPr>
          <w:rFonts w:ascii="Times New Roman" w:hAnsi="Times New Roman"/>
          <w:sz w:val="28"/>
          <w:szCs w:val="28"/>
        </w:rPr>
        <w:t xml:space="preserve">граммы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Организация систематического мониторинга программы дает возможность четко представлять, как проходит пр</w:t>
      </w:r>
      <w:r>
        <w:rPr>
          <w:rFonts w:ascii="Times New Roman" w:hAnsi="Times New Roman"/>
          <w:sz w:val="28"/>
          <w:szCs w:val="28"/>
        </w:rPr>
        <w:t>оцесс наставничества, какие происходят изменения во взаимодействиях наставника с наставляемым (группой   наставляемых), а также какова динамика развития наставляемых и удовлетворенности   наставника своей деятельностью.</w:t>
      </w:r>
      <w:proofErr w:type="gramEnd"/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программы наставничества </w:t>
      </w:r>
      <w:r>
        <w:rPr>
          <w:rFonts w:ascii="Times New Roman" w:hAnsi="Times New Roman"/>
          <w:sz w:val="28"/>
          <w:szCs w:val="28"/>
        </w:rPr>
        <w:t>отражает два основных этапа: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Оценка </w:t>
      </w:r>
      <w:proofErr w:type="gramStart"/>
      <w:r>
        <w:rPr>
          <w:rFonts w:ascii="Times New Roman" w:hAnsi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Оценка мотивационно-личностного,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/>
          <w:sz w:val="28"/>
          <w:szCs w:val="28"/>
        </w:rPr>
        <w:t>, профессионального роста, динамика образовательных результатов.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успешного мониторинга будет аналит</w:t>
      </w:r>
      <w:r>
        <w:rPr>
          <w:rFonts w:ascii="Times New Roman" w:hAnsi="Times New Roman"/>
          <w:sz w:val="28"/>
          <w:szCs w:val="28"/>
        </w:rPr>
        <w:t xml:space="preserve">ика реализуемой программы наставничества, которая позволит выявить ее сильные и слабые стороны, расхождения между ожиданиями и реальными результатами участников   программы   наставничества.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Завершение программы наставничества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2C5C76">
      <w:pPr>
        <w:pStyle w:val="10"/>
        <w:spacing w:line="288" w:lineRule="auto"/>
        <w:jc w:val="center"/>
      </w:pPr>
      <w:r>
        <w:object w:dxaOrig="8180" w:dyaOrig="4060">
          <v:shape id="ole_rId4" o:spid="_x0000_i1026" style="width:409pt;height:203pt" coordsize="" o:spt="100" adj="0,,0" path="" stroked="f">
            <v:stroke joinstyle="miter"/>
            <v:imagedata r:id="rId10" o:title=""/>
            <v:formulas/>
            <v:path o:connecttype="segments"/>
          </v:shape>
          <o:OLEObject Type="Embed" ProgID="CorelDRAW.Graphic.14" ShapeID="ole_rId4" DrawAspect="Content" ObjectID="_1705152344" r:id="rId11"/>
        </w:object>
      </w:r>
    </w:p>
    <w:sectPr w:rsidR="00CF34E4">
      <w:headerReference w:type="default" r:id="rId12"/>
      <w:footerReference w:type="default" r:id="rId13"/>
      <w:pgSz w:w="11906" w:h="16838"/>
      <w:pgMar w:top="1134" w:right="851" w:bottom="1134" w:left="1304" w:header="709" w:footer="709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76" w:rsidRDefault="002C5C76">
      <w:r>
        <w:separator/>
      </w:r>
    </w:p>
  </w:endnote>
  <w:endnote w:type="continuationSeparator" w:id="0">
    <w:p w:rsidR="002C5C76" w:rsidRDefault="002C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venir"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roman"/>
    <w:pitch w:val="variable"/>
  </w:font>
  <w:font w:name="Bookman Old Style">
    <w:panose1 w:val="02050604050505020204"/>
    <w:charset w:val="CC"/>
    <w:family w:val="roman"/>
    <w:pitch w:val="variable"/>
  </w:font>
  <w:font w:name="Arial CYR">
    <w:panose1 w:val="020B0604020202020204"/>
    <w:charset w:val="CC"/>
    <w:family w:val="roman"/>
    <w:pitch w:val="variable"/>
  </w:font>
  <w:font w:name="NewtonCSanPin">
    <w:charset w:val="CC"/>
    <w:family w:val="roman"/>
    <w:pitch w:val="variable"/>
  </w:font>
  <w:font w:name="Times">
    <w:altName w:val="Times New Roman"/>
    <w:panose1 w:val="02020603050405020304"/>
    <w:charset w:val="CC"/>
    <w:family w:val="roman"/>
    <w:pitch w:val="variable"/>
  </w:font>
  <w:font w:name="Lucida Sans Unicode">
    <w:panose1 w:val="020B0602030504020204"/>
    <w:charset w:val="CC"/>
    <w:family w:val="roman"/>
    <w:pitch w:val="variable"/>
  </w:font>
  <w:font w:name="Century Schoolbook">
    <w:panose1 w:val="020406040505050203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cademy">
    <w:charset w:val="CC"/>
    <w:family w:val="roman"/>
    <w:pitch w:val="variable"/>
  </w:font>
  <w:font w:name="Verdana">
    <w:panose1 w:val="020B0604030504040204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choolBookC">
    <w:charset w:val="CC"/>
    <w:family w:val="roman"/>
    <w:pitch w:val="variable"/>
  </w:font>
  <w:font w:name="JournalSansC">
    <w:charset w:val="CC"/>
    <w:family w:val="roman"/>
    <w:pitch w:val="variable"/>
  </w:font>
  <w:font w:name="Myriad Pro Cond">
    <w:charset w:val="CC"/>
    <w:family w:val="roman"/>
    <w:pitch w:val="variable"/>
  </w:font>
  <w:font w:name="PragmaticaC">
    <w:charset w:val="CC"/>
    <w:family w:val="roman"/>
    <w:pitch w:val="variable"/>
  </w:font>
  <w:font w:name="Trebuchet MS">
    <w:panose1 w:val="020B06030202020202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669781"/>
      <w:docPartObj>
        <w:docPartGallery w:val="Page Numbers (Bottom of Page)"/>
        <w:docPartUnique/>
      </w:docPartObj>
    </w:sdtPr>
    <w:sdtEndPr/>
    <w:sdtContent>
      <w:p w:rsidR="00CF34E4" w:rsidRDefault="002C5C76">
        <w:pPr>
          <w:pStyle w:val="afff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CF77AB">
          <w:rPr>
            <w:noProof/>
            <w:sz w:val="20"/>
          </w:rPr>
          <w:t>13</w:t>
        </w:r>
        <w:r>
          <w:rPr>
            <w:sz w:val="20"/>
          </w:rPr>
          <w:fldChar w:fldCharType="end"/>
        </w:r>
      </w:p>
    </w:sdtContent>
  </w:sdt>
  <w:p w:rsidR="00CF34E4" w:rsidRDefault="00CF34E4">
    <w:pPr>
      <w:pStyle w:val="afff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76" w:rsidRDefault="002C5C76">
      <w:r>
        <w:separator/>
      </w:r>
    </w:p>
  </w:footnote>
  <w:footnote w:type="continuationSeparator" w:id="0">
    <w:p w:rsidR="002C5C76" w:rsidRDefault="002C5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4E4" w:rsidRDefault="00CF34E4">
    <w:pPr>
      <w:pStyle w:val="affe"/>
      <w:tabs>
        <w:tab w:val="clear" w:pos="4153"/>
        <w:tab w:val="clear" w:pos="8306"/>
      </w:tabs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E4"/>
    <w:rsid w:val="002C5C76"/>
    <w:rsid w:val="00CF34E4"/>
    <w:rsid w:val="00C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 1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</w:style>
  <w:style w:type="character" w:styleId="a4">
    <w:name w:val="Strong"/>
    <w:uiPriority w:val="99"/>
    <w:qFormat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link w:val="25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b/>
      <w:bCs/>
    </w:rPr>
  </w:style>
  <w:style w:type="character" w:customStyle="1" w:styleId="ListLabel36">
    <w:name w:val="ListLabel 36"/>
    <w:qFormat/>
    <w:rPr>
      <w:b/>
      <w:bCs/>
    </w:rPr>
  </w:style>
  <w:style w:type="character" w:customStyle="1" w:styleId="ListLabel37">
    <w:name w:val="ListLabel 37"/>
    <w:qFormat/>
    <w:rPr>
      <w:b/>
      <w:bCs/>
    </w:rPr>
  </w:style>
  <w:style w:type="paragraph" w:customStyle="1" w:styleId="aff9">
    <w:name w:val="Заголовок"/>
    <w:basedOn w:val="10"/>
    <w:next w:val="af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10"/>
    <w:uiPriority w:val="99"/>
    <w:pPr>
      <w:shd w:val="clear" w:color="auto" w:fill="FFFFFF"/>
      <w:spacing w:before="10"/>
    </w:pPr>
    <w:rPr>
      <w:color w:val="000000"/>
      <w:szCs w:val="31"/>
    </w:r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d">
    <w:name w:val="index heading"/>
    <w:basedOn w:val="10"/>
    <w:qFormat/>
    <w:pPr>
      <w:suppressLineNumbers/>
    </w:pPr>
    <w:rPr>
      <w:rFonts w:cs="Lucida Sans"/>
    </w:rPr>
  </w:style>
  <w:style w:type="paragraph" w:styleId="affe">
    <w:name w:val="head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">
    <w:name w:val="foot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0">
    <w:name w:val="Body Text Indent"/>
    <w:basedOn w:val="10"/>
  </w:style>
  <w:style w:type="paragraph" w:styleId="afff1">
    <w:name w:val="Title"/>
    <w:basedOn w:val="10"/>
    <w:uiPriority w:val="99"/>
    <w:qFormat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2">
    <w:name w:val="Вступление"/>
    <w:basedOn w:val="10"/>
    <w:qFormat/>
    <w:rPr>
      <w:rFonts w:ascii="Academy" w:hAnsi="Academy"/>
      <w:i/>
    </w:rPr>
  </w:style>
  <w:style w:type="paragraph" w:customStyle="1" w:styleId="FR1">
    <w:name w:val="FR1"/>
    <w:qFormat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Pr>
      <w:i/>
      <w:iCs/>
    </w:rPr>
  </w:style>
  <w:style w:type="paragraph" w:styleId="afff3">
    <w:name w:val="Normal (Web)"/>
    <w:basedOn w:val="10"/>
    <w:uiPriority w:val="99"/>
    <w:qFormat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4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5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6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7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8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9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a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b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c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d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8">
    <w:name w:val="Абзац списка1"/>
    <w:basedOn w:val="10"/>
    <w:link w:val="19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e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f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0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a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9">
    <w:name w:val="Заголовок №1"/>
    <w:basedOn w:val="10"/>
    <w:link w:val="18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b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c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1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2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3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4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5">
    <w:name w:val="annotation subject"/>
    <w:basedOn w:val="affff4"/>
    <w:next w:val="affff4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6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7">
    <w:name w:val="Буллит"/>
    <w:basedOn w:val="affff6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8">
    <w:name w:val="Курсив"/>
    <w:basedOn w:val="affff6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9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a">
    <w:name w:val="Буллит Курсив"/>
    <w:basedOn w:val="affff7"/>
    <w:uiPriority w:val="99"/>
    <w:qFormat/>
    <w:rsid w:val="00C931FB"/>
    <w:rPr>
      <w:i/>
    </w:rPr>
  </w:style>
  <w:style w:type="paragraph" w:customStyle="1" w:styleId="affffb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c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d">
    <w:name w:val="Table Grid"/>
    <w:basedOn w:val="a1"/>
    <w:uiPriority w:val="39"/>
    <w:rsid w:val="00E00BD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e">
    <w:name w:val="Table Grid 1"/>
    <w:basedOn w:val="a1"/>
    <w:uiPriority w:val="99"/>
    <w:rsid w:val="00C931F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 1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</w:style>
  <w:style w:type="character" w:styleId="a4">
    <w:name w:val="Strong"/>
    <w:uiPriority w:val="99"/>
    <w:qFormat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link w:val="25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b/>
      <w:bCs/>
    </w:rPr>
  </w:style>
  <w:style w:type="character" w:customStyle="1" w:styleId="ListLabel36">
    <w:name w:val="ListLabel 36"/>
    <w:qFormat/>
    <w:rPr>
      <w:b/>
      <w:bCs/>
    </w:rPr>
  </w:style>
  <w:style w:type="character" w:customStyle="1" w:styleId="ListLabel37">
    <w:name w:val="ListLabel 37"/>
    <w:qFormat/>
    <w:rPr>
      <w:b/>
      <w:bCs/>
    </w:rPr>
  </w:style>
  <w:style w:type="paragraph" w:customStyle="1" w:styleId="aff9">
    <w:name w:val="Заголовок"/>
    <w:basedOn w:val="10"/>
    <w:next w:val="af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10"/>
    <w:uiPriority w:val="99"/>
    <w:pPr>
      <w:shd w:val="clear" w:color="auto" w:fill="FFFFFF"/>
      <w:spacing w:before="10"/>
    </w:pPr>
    <w:rPr>
      <w:color w:val="000000"/>
      <w:szCs w:val="31"/>
    </w:r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d">
    <w:name w:val="index heading"/>
    <w:basedOn w:val="10"/>
    <w:qFormat/>
    <w:pPr>
      <w:suppressLineNumbers/>
    </w:pPr>
    <w:rPr>
      <w:rFonts w:cs="Lucida Sans"/>
    </w:rPr>
  </w:style>
  <w:style w:type="paragraph" w:styleId="affe">
    <w:name w:val="head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">
    <w:name w:val="foot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0">
    <w:name w:val="Body Text Indent"/>
    <w:basedOn w:val="10"/>
  </w:style>
  <w:style w:type="paragraph" w:styleId="afff1">
    <w:name w:val="Title"/>
    <w:basedOn w:val="10"/>
    <w:uiPriority w:val="99"/>
    <w:qFormat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2">
    <w:name w:val="Вступление"/>
    <w:basedOn w:val="10"/>
    <w:qFormat/>
    <w:rPr>
      <w:rFonts w:ascii="Academy" w:hAnsi="Academy"/>
      <w:i/>
    </w:rPr>
  </w:style>
  <w:style w:type="paragraph" w:customStyle="1" w:styleId="FR1">
    <w:name w:val="FR1"/>
    <w:qFormat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Pr>
      <w:i/>
      <w:iCs/>
    </w:rPr>
  </w:style>
  <w:style w:type="paragraph" w:styleId="afff3">
    <w:name w:val="Normal (Web)"/>
    <w:basedOn w:val="10"/>
    <w:uiPriority w:val="99"/>
    <w:qFormat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4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5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6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7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8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9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a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b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c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d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8">
    <w:name w:val="Абзац списка1"/>
    <w:basedOn w:val="10"/>
    <w:link w:val="19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e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f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0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a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9">
    <w:name w:val="Заголовок №1"/>
    <w:basedOn w:val="10"/>
    <w:link w:val="18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b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c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1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2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3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4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5">
    <w:name w:val="annotation subject"/>
    <w:basedOn w:val="affff4"/>
    <w:next w:val="affff4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6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7">
    <w:name w:val="Буллит"/>
    <w:basedOn w:val="affff6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8">
    <w:name w:val="Курсив"/>
    <w:basedOn w:val="affff6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9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a">
    <w:name w:val="Буллит Курсив"/>
    <w:basedOn w:val="affff7"/>
    <w:uiPriority w:val="99"/>
    <w:qFormat/>
    <w:rsid w:val="00C931FB"/>
    <w:rPr>
      <w:i/>
    </w:rPr>
  </w:style>
  <w:style w:type="paragraph" w:customStyle="1" w:styleId="affffb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c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d">
    <w:name w:val="Table Grid"/>
    <w:basedOn w:val="a1"/>
    <w:uiPriority w:val="39"/>
    <w:rsid w:val="00E00BD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e">
    <w:name w:val="Table Grid 1"/>
    <w:basedOn w:val="a1"/>
    <w:uiPriority w:val="99"/>
    <w:rsid w:val="00C931F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E340-4DCB-44A5-BE8E-ECB4D6C6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3605</Words>
  <Characters>20552</Characters>
  <Application>Microsoft Office Word</Application>
  <DocSecurity>0</DocSecurity>
  <Lines>171</Lines>
  <Paragraphs>48</Paragraphs>
  <ScaleCrop>false</ScaleCrop>
  <Company>IPK&amp;PRO</Company>
  <LinksUpToDate>false</LinksUpToDate>
  <CharactersWithSpaces>24109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ШКОЛА</dc:title>
  <dc:subject/>
  <dc:creator>Kovaleva</dc:creator>
  <dc:description/>
  <cp:lastModifiedBy>user</cp:lastModifiedBy>
  <cp:revision>9</cp:revision>
  <cp:lastPrinted>2022-01-27T06:25:00Z</cp:lastPrinted>
  <dcterms:created xsi:type="dcterms:W3CDTF">2022-01-27T03:53:00Z</dcterms:created>
  <dcterms:modified xsi:type="dcterms:W3CDTF">2022-01-31T13:39:00Z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IPK&amp;PRO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