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9D" w:rsidRPr="0091019D" w:rsidRDefault="0091019D" w:rsidP="0091019D">
      <w:pPr>
        <w:spacing w:after="150" w:line="300" w:lineRule="atLeast"/>
        <w:jc w:val="center"/>
        <w:textAlignment w:val="baseline"/>
        <w:outlineLvl w:val="2"/>
        <w:rPr>
          <w:rFonts w:ascii="Verdana" w:eastAsia="Times New Roman" w:hAnsi="Verdana" w:cs="Times New Roman"/>
          <w:color w:val="336600"/>
          <w:sz w:val="27"/>
          <w:szCs w:val="27"/>
          <w:lang w:eastAsia="ru-RU"/>
        </w:rPr>
      </w:pPr>
      <w:r w:rsidRPr="0091019D">
        <w:rPr>
          <w:rFonts w:ascii="Verdana" w:eastAsia="Times New Roman" w:hAnsi="Verdana" w:cs="Times New Roman"/>
          <w:color w:val="336600"/>
          <w:sz w:val="27"/>
          <w:szCs w:val="27"/>
          <w:lang w:eastAsia="ru-RU"/>
        </w:rPr>
        <w:t>Профилактика серозного менингита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         Ежегодно в августе-сентябре регистрируется заболеваемость среди населения серозными менингитами.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           Серозный менингит – одно из клинических проявлений энтеровирусной инфекции. Возбудители этого инфекционного заболевания относятся к кишечным вирусам и называются </w:t>
      </w:r>
      <w:proofErr w:type="spell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энтеровирусами</w:t>
      </w:r>
      <w:proofErr w:type="spell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           </w:t>
      </w:r>
      <w:proofErr w:type="spell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Энтеровирусы</w:t>
      </w:r>
      <w:proofErr w:type="spell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широко </w:t>
      </w:r>
      <w:proofErr w:type="gram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распространены</w:t>
      </w:r>
      <w:proofErr w:type="gram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в окружающей среде (вода открытых водоемов, почва, растительность и др.). </w:t>
      </w:r>
      <w:proofErr w:type="spell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Энтеровирусы</w:t>
      </w:r>
      <w:proofErr w:type="spell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</w:t>
      </w:r>
      <w:proofErr w:type="gram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устойчивы</w:t>
      </w:r>
      <w:proofErr w:type="gram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к 70 % спирту, к замораживанию, действию ультразвука, поверхностно активным веществам и детергентам.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          Однако, прогревание при t 50ºC и выше, высушивание, УФ – облучение, обработка хлорсодержащими препаратами приводит к </w:t>
      </w:r>
      <w:proofErr w:type="gram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быстрой</w:t>
      </w:r>
      <w:proofErr w:type="gram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инактивации</w:t>
      </w:r>
      <w:proofErr w:type="spell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энтеровирусов</w:t>
      </w:r>
      <w:proofErr w:type="spell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.</w:t>
      </w: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br/>
        <w:t xml:space="preserve">          Источник инфекции – человек: больной энтеровирусной инфекцией или носитель. Передача инфекции в основном идет через пищу и воду, особенно часто через плохо вымытые овощи, </w:t>
      </w:r>
      <w:proofErr w:type="gramStart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фрукты</w:t>
      </w:r>
      <w:proofErr w:type="gramEnd"/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 xml:space="preserve"> а также контактно-бытовым путём заражения от больного здоровому. Не исключается и воздушно капельный путь передачи.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        Энтеровирусная инфекция характеризуется многообразием клинических форм.</w:t>
      </w: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br/>
        <w:t>          При всех формах резко повышается температура до 39 – 40º, могут быть герпетические высыпания в зеве, приступообразные боли в мышцах, иногда развивается картина серозного менингита (головная боль, рвота).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        Заболевание может протекать в виде стоматита, ларингита. Может иметь картину схожую с заболеванием краснухой и корью (сыпь). Картина заболевания иногда протекает с симптомами энтероколита (появляется диарея, боли в животе). Иногда заболевание протекает в форме полиомиелита с вялыми параличами и парезами конечностей.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       Исход заболеваний всех клинических форм благоприятный.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        Меры профилактики: основная мера – изоляция заболевшего энтеровирусной инфекцией и обязательное проведение генеральной уборки с дезинфицирующими средствами в квартире после госпитализации больного.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         Необходимо соблюдать правила личной гигиены: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91019D">
        <w:rPr>
          <w:rFonts w:ascii="inherit" w:eastAsia="Times New Roman" w:hAnsi="inherit" w:cs="Times New Roman"/>
          <w:color w:val="303030"/>
          <w:sz w:val="20"/>
          <w:szCs w:val="20"/>
          <w:lang w:eastAsia="ru-RU"/>
        </w:rPr>
        <w:t> </w:t>
      </w: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Воспитывать у себя привычку обязательно мыть руки перед едой и после туалета.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Коротко стричь ногти, не допуская скопления грязи под ними.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Воду для питья употреблять кипяченную, бутилированную или из питьевого фонтанчика с системой доочистки водопроводной воды.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Овощи и фрукты, в том числе цитрусовые и бананы употреблять только после мытья их чистой водой и ошпаривания кипятком; разливное молоко кипятить; творог, приготовленный из сырого молока или развесной, лучше употреблять только в виде блюд с термической обработкой.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Оберегать от мух пищевые продукты, грязную посуду сразу мыть, бачки и вёдра с мусором систематически опорожнять и мыть. Чтобы мухи не залетали в квартиру, окна и форточки затягивать сеткой.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 xml:space="preserve"> Все пищевые продукты хранить </w:t>
      </w:r>
      <w:proofErr w:type="gramStart"/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закрытыми</w:t>
      </w:r>
      <w:proofErr w:type="gramEnd"/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 xml:space="preserve"> в чистой посуде, скоропортящиеся сохранять в холодильниках в пределах допустимых сроков хранения.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Хлеб нужно носить из магазина в мешочке, отдельно от других продуктов.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Обязательно соблюдать чистоту в доме, чаще проветривать помещения, ежедневно проводить влажную уборку.</w:t>
      </w:r>
    </w:p>
    <w:p w:rsidR="0091019D" w:rsidRPr="00FC7991" w:rsidRDefault="0091019D" w:rsidP="0091019D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</w:pPr>
      <w:r w:rsidRPr="00FC7991">
        <w:rPr>
          <w:rFonts w:ascii="inherit" w:eastAsia="Times New Roman" w:hAnsi="inherit" w:cs="Times New Roman"/>
          <w:color w:val="FF0000"/>
          <w:sz w:val="20"/>
          <w:szCs w:val="20"/>
          <w:lang w:eastAsia="ru-RU"/>
        </w:rPr>
        <w:t> Купаться можно только в специально отведенных местах.</w:t>
      </w:r>
    </w:p>
    <w:p w:rsidR="0091019D" w:rsidRPr="00FC7991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FC7991">
        <w:rPr>
          <w:rFonts w:ascii="Verdana" w:eastAsia="Times New Roman" w:hAnsi="Verdana" w:cs="Verdana"/>
          <w:color w:val="FF0000"/>
          <w:sz w:val="20"/>
          <w:szCs w:val="20"/>
          <w:lang w:eastAsia="ru-RU"/>
        </w:rPr>
        <w:t>﻿</w:t>
      </w:r>
    </w:p>
    <w:p w:rsidR="0091019D" w:rsidRPr="0091019D" w:rsidRDefault="0091019D" w:rsidP="0091019D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</w:pPr>
      <w:r w:rsidRPr="0091019D">
        <w:rPr>
          <w:rFonts w:ascii="Verdana" w:eastAsia="Times New Roman" w:hAnsi="Verdana" w:cs="Times New Roman"/>
          <w:color w:val="303030"/>
          <w:sz w:val="20"/>
          <w:szCs w:val="20"/>
          <w:lang w:eastAsia="ru-RU"/>
        </w:rPr>
        <w:t> </w:t>
      </w:r>
    </w:p>
    <w:p w:rsidR="009F49B9" w:rsidRDefault="00FC7991">
      <w:bookmarkStart w:id="0" w:name="_GoBack"/>
      <w:bookmarkEnd w:id="0"/>
    </w:p>
    <w:sectPr w:rsidR="009F49B9" w:rsidSect="0029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808AF"/>
    <w:multiLevelType w:val="multilevel"/>
    <w:tmpl w:val="82F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19D"/>
    <w:rsid w:val="002968EE"/>
    <w:rsid w:val="004902AC"/>
    <w:rsid w:val="0091019D"/>
    <w:rsid w:val="00D81061"/>
    <w:rsid w:val="00FC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</cp:revision>
  <dcterms:created xsi:type="dcterms:W3CDTF">2013-07-17T12:08:00Z</dcterms:created>
  <dcterms:modified xsi:type="dcterms:W3CDTF">2013-07-17T13:17:00Z</dcterms:modified>
</cp:coreProperties>
</file>