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57C3" w14:textId="77777777" w:rsidR="00E574CE" w:rsidRDefault="00E574CE" w:rsidP="00E574CE">
      <w:pPr>
        <w:spacing w:after="0" w:line="240" w:lineRule="auto"/>
        <w:jc w:val="center"/>
        <w:rPr>
          <w:rStyle w:val="20"/>
          <w:rFonts w:eastAsiaTheme="minorHAnsi"/>
          <w:bCs w:val="0"/>
          <w:sz w:val="28"/>
          <w:szCs w:val="28"/>
        </w:rPr>
      </w:pPr>
      <w:r>
        <w:rPr>
          <w:rStyle w:val="20"/>
          <w:rFonts w:eastAsiaTheme="minorHAnsi"/>
          <w:bCs w:val="0"/>
          <w:sz w:val="28"/>
          <w:szCs w:val="28"/>
        </w:rPr>
        <w:t xml:space="preserve">Аналитическая справка по </w:t>
      </w:r>
      <w:r w:rsidR="008A5652">
        <w:rPr>
          <w:rStyle w:val="20"/>
          <w:rFonts w:eastAsiaTheme="minorHAnsi"/>
          <w:bCs w:val="0"/>
          <w:sz w:val="28"/>
          <w:szCs w:val="28"/>
        </w:rPr>
        <w:t>и</w:t>
      </w:r>
      <w:r>
        <w:rPr>
          <w:rStyle w:val="20"/>
          <w:rFonts w:eastAsiaTheme="minorHAnsi"/>
          <w:bCs w:val="0"/>
          <w:sz w:val="28"/>
          <w:szCs w:val="28"/>
        </w:rPr>
        <w:t>тогам проведения д</w:t>
      </w:r>
      <w:r w:rsidRPr="00E574CE">
        <w:rPr>
          <w:rStyle w:val="20"/>
          <w:rFonts w:eastAsia="Arial Narrow"/>
          <w:bCs w:val="0"/>
          <w:sz w:val="28"/>
          <w:szCs w:val="28"/>
        </w:rPr>
        <w:t>иагностическ</w:t>
      </w:r>
      <w:r>
        <w:rPr>
          <w:rStyle w:val="20"/>
          <w:rFonts w:eastAsiaTheme="minorHAnsi"/>
          <w:bCs w:val="0"/>
          <w:sz w:val="28"/>
          <w:szCs w:val="28"/>
        </w:rPr>
        <w:t>ой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работ</w:t>
      </w:r>
      <w:r>
        <w:rPr>
          <w:rStyle w:val="20"/>
          <w:rFonts w:eastAsiaTheme="minorHAnsi"/>
          <w:bCs w:val="0"/>
          <w:sz w:val="28"/>
          <w:szCs w:val="28"/>
        </w:rPr>
        <w:t>ы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</w:t>
      </w:r>
    </w:p>
    <w:p w14:paraId="56D17734" w14:textId="77777777" w:rsidR="009754FC" w:rsidRDefault="00E574CE" w:rsidP="00E574CE">
      <w:pPr>
        <w:spacing w:after="0" w:line="240" w:lineRule="auto"/>
        <w:jc w:val="center"/>
        <w:rPr>
          <w:rStyle w:val="20"/>
          <w:rFonts w:eastAsia="Arial Narrow"/>
          <w:bCs w:val="0"/>
          <w:sz w:val="28"/>
          <w:szCs w:val="28"/>
        </w:rPr>
      </w:pPr>
      <w:r w:rsidRPr="00E574CE">
        <w:rPr>
          <w:rStyle w:val="20"/>
          <w:rFonts w:eastAsia="Arial Narrow"/>
          <w:bCs w:val="0"/>
          <w:sz w:val="28"/>
          <w:szCs w:val="28"/>
        </w:rPr>
        <w:t>по читател</w:t>
      </w:r>
      <w:r w:rsidRPr="00E574CE">
        <w:rPr>
          <w:rStyle w:val="20"/>
          <w:rFonts w:eastAsiaTheme="minorHAnsi"/>
          <w:bCs w:val="0"/>
          <w:sz w:val="28"/>
          <w:szCs w:val="28"/>
        </w:rPr>
        <w:t xml:space="preserve">ьской грамотности обучающихся 6-х </w:t>
      </w:r>
      <w:r w:rsidRPr="00E574CE">
        <w:rPr>
          <w:rStyle w:val="20"/>
          <w:rFonts w:eastAsia="Arial Narrow"/>
          <w:bCs w:val="0"/>
          <w:sz w:val="28"/>
          <w:szCs w:val="28"/>
        </w:rPr>
        <w:t>класс</w:t>
      </w:r>
      <w:r w:rsidRPr="00E574CE">
        <w:rPr>
          <w:rStyle w:val="20"/>
          <w:rFonts w:eastAsiaTheme="minorHAnsi"/>
          <w:bCs w:val="0"/>
          <w:sz w:val="28"/>
          <w:szCs w:val="28"/>
        </w:rPr>
        <w:t>ов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</w:t>
      </w:r>
      <w:r w:rsidRPr="00E574CE">
        <w:rPr>
          <w:rStyle w:val="20"/>
          <w:rFonts w:eastAsiaTheme="minorHAnsi"/>
          <w:bCs w:val="0"/>
          <w:sz w:val="28"/>
          <w:szCs w:val="28"/>
        </w:rPr>
        <w:t>общеобразовательных учреждений Боготольского района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</w:t>
      </w:r>
    </w:p>
    <w:p w14:paraId="3CD6FBE8" w14:textId="3C739886" w:rsidR="00E574CE" w:rsidRPr="00E574CE" w:rsidRDefault="00E574CE" w:rsidP="00E574CE">
      <w:pPr>
        <w:spacing w:after="0" w:line="240" w:lineRule="auto"/>
        <w:jc w:val="center"/>
        <w:rPr>
          <w:sz w:val="28"/>
          <w:szCs w:val="28"/>
        </w:rPr>
      </w:pPr>
      <w:r w:rsidRPr="00E574CE">
        <w:rPr>
          <w:rStyle w:val="20"/>
          <w:rFonts w:eastAsia="Arial Narrow"/>
          <w:bCs w:val="0"/>
          <w:sz w:val="28"/>
          <w:szCs w:val="28"/>
        </w:rPr>
        <w:t>в 202</w:t>
      </w:r>
      <w:r w:rsidR="00DF4E96">
        <w:rPr>
          <w:rStyle w:val="20"/>
          <w:rFonts w:eastAsia="Arial Narrow"/>
          <w:bCs w:val="0"/>
          <w:sz w:val="28"/>
          <w:szCs w:val="28"/>
        </w:rPr>
        <w:t>2</w:t>
      </w:r>
      <w:r w:rsidR="009754FC">
        <w:rPr>
          <w:rStyle w:val="20"/>
          <w:rFonts w:eastAsia="Arial Narrow"/>
          <w:bCs w:val="0"/>
          <w:sz w:val="28"/>
          <w:szCs w:val="28"/>
        </w:rPr>
        <w:t>-202</w:t>
      </w:r>
      <w:r w:rsidR="00DF4E96">
        <w:rPr>
          <w:rStyle w:val="20"/>
          <w:rFonts w:eastAsia="Arial Narrow"/>
          <w:bCs w:val="0"/>
          <w:sz w:val="28"/>
          <w:szCs w:val="28"/>
        </w:rPr>
        <w:t>3</w:t>
      </w:r>
      <w:r w:rsidR="009754FC">
        <w:rPr>
          <w:rStyle w:val="20"/>
          <w:rFonts w:eastAsia="Arial Narrow"/>
          <w:bCs w:val="0"/>
          <w:sz w:val="28"/>
          <w:szCs w:val="28"/>
        </w:rPr>
        <w:t xml:space="preserve"> учебном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году</w:t>
      </w:r>
    </w:p>
    <w:p w14:paraId="1E8AC0FC" w14:textId="1951B53A" w:rsidR="00D73309" w:rsidRPr="00C83DF1" w:rsidRDefault="00D73309" w:rsidP="00220FE5">
      <w:pPr>
        <w:pStyle w:val="22"/>
        <w:shd w:val="clear" w:color="auto" w:fill="auto"/>
        <w:spacing w:before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8383714"/>
      <w:r w:rsidRPr="00C83D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ноябре 202</w:t>
      </w:r>
      <w:r w:rsidR="00DF4E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83D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в диагностической работе по читательской грамотности для 6-х классов приняли участие </w:t>
      </w:r>
      <w:r w:rsidR="00DF4E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82</w:t>
      </w:r>
      <w:r w:rsidRPr="00C83D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обучающихся.</w:t>
      </w:r>
    </w:p>
    <w:p w14:paraId="26D17AEE" w14:textId="34BABBB6" w:rsidR="001664DA" w:rsidRDefault="00DF4E96" w:rsidP="00220FE5">
      <w:pPr>
        <w:pStyle w:val="22"/>
        <w:shd w:val="clear" w:color="auto" w:fill="auto"/>
        <w:spacing w:before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F4E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Основные результаты по муниципальному образованию приведены в сопоставлении с данными по региону, полученными на представительной выборке.</w:t>
      </w:r>
    </w:p>
    <w:p w14:paraId="3C7F0B29" w14:textId="6011BAE6" w:rsidR="001664DA" w:rsidRDefault="001664DA" w:rsidP="00166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tbl>
      <w:tblPr>
        <w:tblW w:w="9511" w:type="dxa"/>
        <w:tblLook w:val="04A0" w:firstRow="1" w:lastRow="0" w:firstColumn="1" w:lastColumn="0" w:noHBand="0" w:noVBand="1"/>
      </w:tblPr>
      <w:tblGrid>
        <w:gridCol w:w="1826"/>
        <w:gridCol w:w="4133"/>
        <w:gridCol w:w="1868"/>
        <w:gridCol w:w="1684"/>
      </w:tblGrid>
      <w:tr w:rsidR="000E79AD" w:rsidRPr="000E79AD" w14:paraId="2105825F" w14:textId="77777777" w:rsidTr="000E79AD">
        <w:trPr>
          <w:trHeight w:val="790"/>
        </w:trPr>
        <w:tc>
          <w:tcPr>
            <w:tcW w:w="595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7015DCA4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Основные результаты выполнения диагностической работы по читательской грамотности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11BE816F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Среднее значение по муниципальному образованию (%)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39639D"/>
            <w:vAlign w:val="center"/>
            <w:hideMark/>
          </w:tcPr>
          <w:p w14:paraId="54782A8F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Среднее значение по краю (%)</w:t>
            </w:r>
          </w:p>
        </w:tc>
      </w:tr>
      <w:tr w:rsidR="000E79AD" w:rsidRPr="000E79AD" w14:paraId="7462EB4C" w14:textId="77777777" w:rsidTr="000E79AD">
        <w:trPr>
          <w:trHeight w:val="318"/>
        </w:trPr>
        <w:tc>
          <w:tcPr>
            <w:tcW w:w="9511" w:type="dxa"/>
            <w:gridSpan w:val="4"/>
            <w:tcBorders>
              <w:top w:val="single" w:sz="8" w:space="0" w:color="FFFFFF"/>
              <w:left w:val="nil"/>
              <w:bottom w:val="single" w:sz="4" w:space="0" w:color="39639D"/>
              <w:right w:val="nil"/>
            </w:tcBorders>
            <w:shd w:val="clear" w:color="000000" w:fill="DEF5FA"/>
            <w:vAlign w:val="center"/>
            <w:hideMark/>
          </w:tcPr>
          <w:p w14:paraId="6B6748DB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Успешность выполнения (% от максимального балла)</w:t>
            </w:r>
          </w:p>
        </w:tc>
      </w:tr>
      <w:tr w:rsidR="000E79AD" w:rsidRPr="000E79AD" w14:paraId="4F1C57FA" w14:textId="77777777" w:rsidTr="000E79AD">
        <w:trPr>
          <w:trHeight w:val="247"/>
        </w:trPr>
        <w:tc>
          <w:tcPr>
            <w:tcW w:w="5959" w:type="dxa"/>
            <w:gridSpan w:val="2"/>
            <w:tcBorders>
              <w:top w:val="single" w:sz="4" w:space="0" w:color="39639D"/>
              <w:left w:val="nil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11E9B8A0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Вся работы (балл по 100-балльной шкале)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4E5C88E6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E11"/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54,95</w:t>
            </w:r>
            <w:bookmarkEnd w:id="1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9639D"/>
              <w:right w:val="nil"/>
            </w:tcBorders>
            <w:shd w:val="clear" w:color="auto" w:fill="auto"/>
            <w:vAlign w:val="center"/>
            <w:hideMark/>
          </w:tcPr>
          <w:p w14:paraId="4EFCB0ED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56,69</w:t>
            </w:r>
          </w:p>
        </w:tc>
      </w:tr>
      <w:tr w:rsidR="000E79AD" w:rsidRPr="000E79AD" w14:paraId="327361A8" w14:textId="77777777" w:rsidTr="000E79AD">
        <w:trPr>
          <w:trHeight w:val="271"/>
        </w:trPr>
        <w:tc>
          <w:tcPr>
            <w:tcW w:w="1826" w:type="dxa"/>
            <w:vMerge w:val="restart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auto" w:fill="auto"/>
            <w:vAlign w:val="center"/>
            <w:hideMark/>
          </w:tcPr>
          <w:p w14:paraId="0D67F088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по группам умений (% максимального балла)</w:t>
            </w:r>
          </w:p>
        </w:tc>
        <w:tc>
          <w:tcPr>
            <w:tcW w:w="4133" w:type="dxa"/>
            <w:tcBorders>
              <w:top w:val="single" w:sz="4" w:space="0" w:color="39639D"/>
              <w:left w:val="nil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67835BA8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Общее понимание и ориентация в тексте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35603C76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E12"/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54,88%</w:t>
            </w:r>
            <w:bookmarkEnd w:id="2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9639D"/>
              <w:right w:val="nil"/>
            </w:tcBorders>
            <w:shd w:val="clear" w:color="auto" w:fill="auto"/>
            <w:vAlign w:val="center"/>
            <w:hideMark/>
          </w:tcPr>
          <w:p w14:paraId="47FC3B15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50,12%</w:t>
            </w:r>
          </w:p>
        </w:tc>
      </w:tr>
      <w:tr w:rsidR="000E79AD" w:rsidRPr="000E79AD" w14:paraId="089AA91A" w14:textId="77777777" w:rsidTr="000E79AD">
        <w:trPr>
          <w:trHeight w:val="530"/>
        </w:trPr>
        <w:tc>
          <w:tcPr>
            <w:tcW w:w="1826" w:type="dxa"/>
            <w:vMerge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vAlign w:val="center"/>
            <w:hideMark/>
          </w:tcPr>
          <w:p w14:paraId="0F763962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39639D"/>
              <w:left w:val="nil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458425CA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Глубокое и детальное понимание содержания и формы текста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79AA9145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RANGE!E13"/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45,33%</w:t>
            </w:r>
            <w:bookmarkEnd w:id="3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9639D"/>
              <w:right w:val="nil"/>
            </w:tcBorders>
            <w:shd w:val="clear" w:color="auto" w:fill="auto"/>
            <w:vAlign w:val="center"/>
            <w:hideMark/>
          </w:tcPr>
          <w:p w14:paraId="1F93EA92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40,43%</w:t>
            </w:r>
          </w:p>
        </w:tc>
      </w:tr>
      <w:tr w:rsidR="000E79AD" w:rsidRPr="000E79AD" w14:paraId="4FCB0E01" w14:textId="77777777" w:rsidTr="000E79AD">
        <w:trPr>
          <w:trHeight w:val="259"/>
        </w:trPr>
        <w:tc>
          <w:tcPr>
            <w:tcW w:w="1826" w:type="dxa"/>
            <w:vMerge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vAlign w:val="center"/>
            <w:hideMark/>
          </w:tcPr>
          <w:p w14:paraId="3055F78E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39639D"/>
              <w:left w:val="nil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6D06C366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Осмысление и оценка, использование информации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3782FE77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RANGE!E14"/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34,33%</w:t>
            </w:r>
            <w:bookmarkEnd w:id="4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8EFFA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31,04%</w:t>
            </w:r>
          </w:p>
        </w:tc>
      </w:tr>
      <w:tr w:rsidR="000E79AD" w:rsidRPr="000E79AD" w14:paraId="55088C80" w14:textId="77777777" w:rsidTr="000E79AD">
        <w:trPr>
          <w:trHeight w:val="271"/>
        </w:trPr>
        <w:tc>
          <w:tcPr>
            <w:tcW w:w="1826" w:type="dxa"/>
            <w:vMerge w:val="restart"/>
            <w:tcBorders>
              <w:top w:val="nil"/>
              <w:left w:val="nil"/>
              <w:bottom w:val="single" w:sz="4" w:space="0" w:color="39639D"/>
              <w:right w:val="nil"/>
            </w:tcBorders>
            <w:shd w:val="clear" w:color="auto" w:fill="auto"/>
            <w:vAlign w:val="center"/>
            <w:hideMark/>
          </w:tcPr>
          <w:p w14:paraId="3BE52171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по предметным областям (% от максимального балла)</w:t>
            </w:r>
          </w:p>
        </w:tc>
        <w:tc>
          <w:tcPr>
            <w:tcW w:w="4133" w:type="dxa"/>
            <w:tcBorders>
              <w:top w:val="single" w:sz="4" w:space="0" w:color="39639D"/>
              <w:left w:val="single" w:sz="4" w:space="0" w:color="39639D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6040C729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Естествознание</w:t>
            </w:r>
          </w:p>
        </w:tc>
        <w:tc>
          <w:tcPr>
            <w:tcW w:w="1868" w:type="dxa"/>
            <w:tcBorders>
              <w:top w:val="single" w:sz="4" w:space="0" w:color="39639D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30256B4D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RANGE!E15"/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49,63%</w:t>
            </w:r>
            <w:bookmarkEnd w:id="5"/>
          </w:p>
        </w:tc>
        <w:tc>
          <w:tcPr>
            <w:tcW w:w="1684" w:type="dxa"/>
            <w:tcBorders>
              <w:top w:val="single" w:sz="4" w:space="0" w:color="39639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24908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44,63%</w:t>
            </w:r>
          </w:p>
        </w:tc>
      </w:tr>
      <w:tr w:rsidR="000E79AD" w:rsidRPr="000E79AD" w14:paraId="242EDB61" w14:textId="77777777" w:rsidTr="000E79AD">
        <w:trPr>
          <w:trHeight w:val="271"/>
        </w:trPr>
        <w:tc>
          <w:tcPr>
            <w:tcW w:w="1826" w:type="dxa"/>
            <w:vMerge/>
            <w:tcBorders>
              <w:top w:val="nil"/>
              <w:left w:val="nil"/>
              <w:bottom w:val="single" w:sz="4" w:space="0" w:color="39639D"/>
              <w:right w:val="nil"/>
            </w:tcBorders>
            <w:vAlign w:val="center"/>
            <w:hideMark/>
          </w:tcPr>
          <w:p w14:paraId="4402E71D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39639D"/>
              <w:left w:val="single" w:sz="4" w:space="0" w:color="39639D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3E690A7E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5EC45E23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RANGE!E16"/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41,83%</w:t>
            </w:r>
            <w:bookmarkEnd w:id="6"/>
          </w:p>
        </w:tc>
        <w:tc>
          <w:tcPr>
            <w:tcW w:w="1684" w:type="dxa"/>
            <w:tcBorders>
              <w:top w:val="single" w:sz="4" w:space="0" w:color="39639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40CE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38,21%</w:t>
            </w:r>
          </w:p>
        </w:tc>
      </w:tr>
      <w:tr w:rsidR="000E79AD" w:rsidRPr="000E79AD" w14:paraId="39DD08BF" w14:textId="77777777" w:rsidTr="000E79AD">
        <w:trPr>
          <w:trHeight w:val="271"/>
        </w:trPr>
        <w:tc>
          <w:tcPr>
            <w:tcW w:w="1826" w:type="dxa"/>
            <w:vMerge/>
            <w:tcBorders>
              <w:top w:val="nil"/>
              <w:left w:val="nil"/>
              <w:bottom w:val="single" w:sz="4" w:space="0" w:color="39639D"/>
              <w:right w:val="nil"/>
            </w:tcBorders>
            <w:vAlign w:val="center"/>
            <w:hideMark/>
          </w:tcPr>
          <w:p w14:paraId="34A2E916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39639D"/>
              <w:left w:val="single" w:sz="4" w:space="0" w:color="39639D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68D4CA74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4667BFB3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RANGE!E17"/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44,88%</w:t>
            </w:r>
            <w:bookmarkEnd w:id="7"/>
          </w:p>
        </w:tc>
        <w:tc>
          <w:tcPr>
            <w:tcW w:w="1684" w:type="dxa"/>
            <w:tcBorders>
              <w:top w:val="single" w:sz="4" w:space="0" w:color="39639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FDA9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38,30%</w:t>
            </w:r>
          </w:p>
        </w:tc>
      </w:tr>
      <w:tr w:rsidR="000E79AD" w:rsidRPr="000E79AD" w14:paraId="2A84F949" w14:textId="77777777" w:rsidTr="000E79AD">
        <w:trPr>
          <w:trHeight w:val="271"/>
        </w:trPr>
        <w:tc>
          <w:tcPr>
            <w:tcW w:w="1826" w:type="dxa"/>
            <w:vMerge/>
            <w:tcBorders>
              <w:top w:val="nil"/>
              <w:left w:val="nil"/>
              <w:bottom w:val="single" w:sz="4" w:space="0" w:color="39639D"/>
              <w:right w:val="nil"/>
            </w:tcBorders>
            <w:vAlign w:val="center"/>
            <w:hideMark/>
          </w:tcPr>
          <w:p w14:paraId="6FA564BF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39639D"/>
              <w:left w:val="single" w:sz="4" w:space="0" w:color="39639D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3716D9AA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02A9265A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RANGE!E18"/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39,27%</w:t>
            </w:r>
            <w:bookmarkEnd w:id="8"/>
          </w:p>
        </w:tc>
        <w:tc>
          <w:tcPr>
            <w:tcW w:w="1684" w:type="dxa"/>
            <w:tcBorders>
              <w:top w:val="single" w:sz="4" w:space="0" w:color="39639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0B23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37,14%</w:t>
            </w:r>
          </w:p>
        </w:tc>
      </w:tr>
      <w:tr w:rsidR="000E79AD" w:rsidRPr="000E79AD" w14:paraId="4FFD3DD6" w14:textId="77777777" w:rsidTr="000E79AD">
        <w:trPr>
          <w:trHeight w:val="306"/>
        </w:trPr>
        <w:tc>
          <w:tcPr>
            <w:tcW w:w="9511" w:type="dxa"/>
            <w:gridSpan w:val="4"/>
            <w:tcBorders>
              <w:top w:val="single" w:sz="4" w:space="0" w:color="39639D"/>
              <w:left w:val="nil"/>
              <w:bottom w:val="single" w:sz="4" w:space="0" w:color="39639D"/>
              <w:right w:val="nil"/>
            </w:tcBorders>
            <w:shd w:val="clear" w:color="000000" w:fill="DEF5FA"/>
            <w:vAlign w:val="center"/>
            <w:hideMark/>
          </w:tcPr>
          <w:p w14:paraId="4A5C3F82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E79AD" w:rsidRPr="000E79AD" w14:paraId="709EB310" w14:textId="77777777" w:rsidTr="000E79AD">
        <w:trPr>
          <w:trHeight w:val="306"/>
        </w:trPr>
        <w:tc>
          <w:tcPr>
            <w:tcW w:w="5959" w:type="dxa"/>
            <w:gridSpan w:val="2"/>
            <w:tcBorders>
              <w:top w:val="single" w:sz="4" w:space="0" w:color="39639D"/>
              <w:left w:val="nil"/>
              <w:bottom w:val="single" w:sz="4" w:space="0" w:color="39639D"/>
              <w:right w:val="single" w:sz="4" w:space="0" w:color="39639D"/>
            </w:tcBorders>
            <w:shd w:val="clear" w:color="auto" w:fill="auto"/>
            <w:hideMark/>
          </w:tcPr>
          <w:p w14:paraId="413A0BE4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Преодолели границу пониженного (порогового) уровня (% учащихся)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6AE6F8CD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RANGE!E20"/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91,46%</w:t>
            </w:r>
            <w:bookmarkEnd w:id="9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9639D"/>
              <w:right w:val="nil"/>
            </w:tcBorders>
            <w:shd w:val="clear" w:color="auto" w:fill="auto"/>
            <w:vAlign w:val="center"/>
            <w:hideMark/>
          </w:tcPr>
          <w:p w14:paraId="39E3BB8C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88,46%</w:t>
            </w:r>
          </w:p>
        </w:tc>
      </w:tr>
      <w:tr w:rsidR="000E79AD" w:rsidRPr="000E79AD" w14:paraId="4B1454EB" w14:textId="77777777" w:rsidTr="000E79AD">
        <w:trPr>
          <w:trHeight w:val="318"/>
        </w:trPr>
        <w:tc>
          <w:tcPr>
            <w:tcW w:w="5959" w:type="dxa"/>
            <w:gridSpan w:val="2"/>
            <w:tcBorders>
              <w:top w:val="single" w:sz="4" w:space="0" w:color="39639D"/>
              <w:left w:val="nil"/>
              <w:bottom w:val="nil"/>
              <w:right w:val="single" w:sz="4" w:space="0" w:color="39639D"/>
            </w:tcBorders>
            <w:shd w:val="clear" w:color="auto" w:fill="auto"/>
            <w:noWrap/>
            <w:hideMark/>
          </w:tcPr>
          <w:p w14:paraId="1348586A" w14:textId="77777777" w:rsidR="000E79AD" w:rsidRPr="000E79AD" w:rsidRDefault="000E79AD" w:rsidP="000E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Достигли повышенного уровня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597487B0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RANGE!E21"/>
            <w:r w:rsidRPr="000E7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2,44%</w:t>
            </w:r>
            <w:bookmarkEnd w:id="10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5914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9AD">
              <w:rPr>
                <w:rFonts w:ascii="Times New Roman" w:eastAsia="Times New Roman" w:hAnsi="Times New Roman" w:cs="Times New Roman"/>
                <w:lang w:eastAsia="ru-RU"/>
              </w:rPr>
              <w:t>9,95%</w:t>
            </w:r>
          </w:p>
        </w:tc>
      </w:tr>
    </w:tbl>
    <w:p w14:paraId="233BE33F" w14:textId="4B89AB9F" w:rsidR="00DF4E96" w:rsidRDefault="00DF4E96" w:rsidP="00166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tbl>
      <w:tblPr>
        <w:tblpPr w:leftFromText="180" w:rightFromText="180" w:vertAnchor="text" w:horzAnchor="margin" w:tblpY="215"/>
        <w:tblW w:w="9543" w:type="dxa"/>
        <w:tblLook w:val="04A0" w:firstRow="1" w:lastRow="0" w:firstColumn="1" w:lastColumn="0" w:noHBand="0" w:noVBand="1"/>
      </w:tblPr>
      <w:tblGrid>
        <w:gridCol w:w="1893"/>
        <w:gridCol w:w="2032"/>
        <w:gridCol w:w="2081"/>
        <w:gridCol w:w="1767"/>
        <w:gridCol w:w="1770"/>
      </w:tblGrid>
      <w:tr w:rsidR="000E79AD" w:rsidRPr="000E79AD" w14:paraId="4778ADF3" w14:textId="77777777" w:rsidTr="000E79AD">
        <w:trPr>
          <w:trHeight w:val="325"/>
        </w:trPr>
        <w:tc>
          <w:tcPr>
            <w:tcW w:w="1893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13549FD0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3083B30C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  <w:t>Уровни читательской грамотности (% учащихся, результаты которых соответствуют данному уровню достижений)</w:t>
            </w:r>
          </w:p>
        </w:tc>
      </w:tr>
      <w:tr w:rsidR="000E79AD" w:rsidRPr="000E79AD" w14:paraId="24F033FA" w14:textId="77777777" w:rsidTr="000E79AD">
        <w:trPr>
          <w:trHeight w:val="190"/>
        </w:trPr>
        <w:tc>
          <w:tcPr>
            <w:tcW w:w="1893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7BB60DE7" w14:textId="77777777" w:rsidR="000E79AD" w:rsidRPr="000E79AD" w:rsidRDefault="000E79AD" w:rsidP="000E79AD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124053D4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48DC97B3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  <w:t>Пониженный (пороговый)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51B483E5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9639D"/>
            <w:vAlign w:val="center"/>
            <w:hideMark/>
          </w:tcPr>
          <w:p w14:paraId="1534C82D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ru-RU"/>
              </w:rPr>
              <w:t>Повышенный</w:t>
            </w:r>
          </w:p>
        </w:tc>
      </w:tr>
      <w:tr w:rsidR="000E79AD" w:rsidRPr="000E79AD" w14:paraId="3629F3C2" w14:textId="77777777" w:rsidTr="000E79AD">
        <w:trPr>
          <w:trHeight w:val="412"/>
        </w:trPr>
        <w:tc>
          <w:tcPr>
            <w:tcW w:w="1893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vAlign w:val="center"/>
            <w:hideMark/>
          </w:tcPr>
          <w:p w14:paraId="2E06B831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Муниципальное образование (%)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52D4F662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bookmarkStart w:id="11" w:name="RANGE!C43"/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8,54%</w:t>
            </w:r>
            <w:bookmarkEnd w:id="11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4EFCEB7C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bookmarkStart w:id="12" w:name="RANGE!D43"/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62,20%</w:t>
            </w:r>
            <w:bookmarkEnd w:id="12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39639D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57E2E4BD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bookmarkStart w:id="13" w:name="RANGE!E43"/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26,83%</w:t>
            </w:r>
            <w:bookmarkEnd w:id="13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39639D"/>
              <w:right w:val="nil"/>
            </w:tcBorders>
            <w:shd w:val="clear" w:color="000000" w:fill="FFFFFF"/>
            <w:noWrap/>
            <w:vAlign w:val="center"/>
            <w:hideMark/>
          </w:tcPr>
          <w:p w14:paraId="366E07B1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bookmarkStart w:id="14" w:name="RANGE!F43"/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2,44%</w:t>
            </w:r>
            <w:bookmarkEnd w:id="14"/>
          </w:p>
        </w:tc>
      </w:tr>
      <w:tr w:rsidR="000E79AD" w:rsidRPr="000E79AD" w14:paraId="676F8CF5" w14:textId="77777777" w:rsidTr="000E79AD">
        <w:trPr>
          <w:trHeight w:val="258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027926E2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Красноярский край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7CD55190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11,54%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1EA6FAA0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48,87%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39639D"/>
            </w:tcBorders>
            <w:shd w:val="clear" w:color="000000" w:fill="FFFFFF"/>
            <w:noWrap/>
            <w:vAlign w:val="center"/>
            <w:hideMark/>
          </w:tcPr>
          <w:p w14:paraId="06E99988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29,64%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39BDF" w14:textId="77777777" w:rsidR="000E79AD" w:rsidRPr="000E79AD" w:rsidRDefault="000E79AD" w:rsidP="000E79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0E79A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9,95%</w:t>
            </w:r>
          </w:p>
        </w:tc>
      </w:tr>
    </w:tbl>
    <w:p w14:paraId="33FABD63" w14:textId="77777777" w:rsidR="000E79AD" w:rsidRDefault="000E79AD" w:rsidP="00166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p w14:paraId="25FDC51B" w14:textId="77777777" w:rsidR="0026692F" w:rsidRDefault="0026692F" w:rsidP="00166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p w14:paraId="70DBF484" w14:textId="2A1346AD" w:rsidR="001664DA" w:rsidRDefault="001664DA" w:rsidP="00166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В 202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2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-2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3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учебном году доля учеников, достигших базового и повышенного </w:t>
      </w:r>
      <w:r w:rsidR="008A5652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уровней, 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в сумме 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29,27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%,</w:t>
      </w:r>
      <w:r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это на 1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0</w:t>
      </w:r>
      <w:r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,30% 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ниже</w:t>
      </w:r>
      <w:r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, чем по региону. Н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о вместе с тем доля учеников, показавших пониженный уровень и уровень, недостат</w:t>
      </w:r>
      <w:r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очный для дальнейшего обучения 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в сумме 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70,73</w:t>
      </w:r>
      <w:r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%, тогда как в регионе 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60,45</w:t>
      </w:r>
      <w:r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%. </w:t>
      </w:r>
    </w:p>
    <w:p w14:paraId="50DBB704" w14:textId="20F17C4A" w:rsidR="0026692F" w:rsidRPr="00333B14" w:rsidRDefault="001664DA" w:rsidP="0026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Важно отметить, что только уровень</w:t>
      </w:r>
      <w:r w:rsidRPr="00333B14">
        <w:rPr>
          <w:rFonts w:ascii="Times New Roman" w:eastAsia="Arial Narrow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, 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недостаточный для дальнейшего обучения (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8,54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% обучающихся), говорит о том, что ученик не продемонстрировал читательскую грамотность. Пониженный уровень (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62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,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2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% обучающихся) говорит о том, что ученик достиг минимального (порогового) уровня читательской грамотности, решает отдельные читательские задачи, иногда достаточно сложные, но его понимание текста в целом – фрагментарно и неточно. Базовый уровень (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26,83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% обучающихся) показывает, что ученик демонстрирует разные группы читательских умений, верно понимает основное содержание текста. Повышенный уровень (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2,44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% обучающихся) говорит о том, что ученику по силам большинство предложенных читательских задач, он способен самостоятельно учиться на 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lastRenderedPageBreak/>
        <w:t xml:space="preserve">основе текстов. Таким образом, 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91,46% </w:t>
      </w:r>
      <w:r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6-классников продемонстрировали читательскую грамотность на пониженном, базовом или повышенном уровне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, это на 8,76% выше, чем в 2021-22 учебном году, когда данный показатель находился на уровне </w:t>
      </w:r>
      <w:r w:rsidR="0026692F" w:rsidRPr="00333B14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82,7%</w:t>
      </w:r>
      <w:r w:rsidR="0026692F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.</w:t>
      </w:r>
    </w:p>
    <w:bookmarkEnd w:id="0"/>
    <w:p w14:paraId="5C51B101" w14:textId="163D3E6C" w:rsidR="00043A9E" w:rsidRDefault="00043A9E" w:rsidP="004304A3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6906723" w14:textId="4901E903" w:rsidR="008871F5" w:rsidRDefault="008871F5" w:rsidP="004304A3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6954F479" wp14:editId="09220E44">
            <wp:extent cx="5464455" cy="2194560"/>
            <wp:effectExtent l="0" t="0" r="3175" b="1524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D16C3ED" w14:textId="77777777" w:rsidR="008871F5" w:rsidRDefault="008871F5" w:rsidP="00792B23">
      <w:pPr>
        <w:pStyle w:val="Default"/>
        <w:ind w:firstLine="708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0885D4C" w14:textId="77777777" w:rsidR="008871F5" w:rsidRDefault="008871F5" w:rsidP="00792B23">
      <w:pPr>
        <w:pStyle w:val="Default"/>
        <w:ind w:firstLine="708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94126F3" w14:textId="77777777" w:rsidR="008871F5" w:rsidRPr="008871F5" w:rsidRDefault="008871F5" w:rsidP="008871F5">
      <w:pPr>
        <w:pStyle w:val="Default"/>
        <w:ind w:firstLine="708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 Освоение основных умений характеризуется не только средними значениями, но и разбросом индивидуальных результатов. На графике ниже (см. Рисунок 1) представлено распределение результатов освоения трех групп читательских умений в Красноярском крае и в муниципальном образовании (МО). </w:t>
      </w:r>
    </w:p>
    <w:p w14:paraId="03801BF0" w14:textId="77777777" w:rsidR="008871F5" w:rsidRPr="008871F5" w:rsidRDefault="008871F5" w:rsidP="008871F5">
      <w:pPr>
        <w:pStyle w:val="Default"/>
        <w:ind w:firstLine="708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Красными кружками на графике обозначены средние результаты выполнения заданий по каждой из трех групп читательских умений по краю. Каждая такая точка делит краевую выборку на две равные части – показавших результаты выше и ниже средних. </w:t>
      </w:r>
    </w:p>
    <w:p w14:paraId="64BC69A0" w14:textId="77777777" w:rsidR="008871F5" w:rsidRPr="008871F5" w:rsidRDefault="008871F5" w:rsidP="008871F5">
      <w:pPr>
        <w:pStyle w:val="Default"/>
        <w:ind w:firstLine="708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Красными квадратами отмечены аналогичные средние результаты, но уже для муниципальной системы.</w:t>
      </w:r>
    </w:p>
    <w:p w14:paraId="2B2D1C1B" w14:textId="77777777" w:rsidR="008871F5" w:rsidRPr="008871F5" w:rsidRDefault="008871F5" w:rsidP="008871F5">
      <w:pPr>
        <w:pStyle w:val="Default"/>
        <w:ind w:firstLine="708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Сплошной синей линией обозначены границы интервалов, в которых находятся результаты половины шестиклассников края: 25% из них лежат в интервале от красной точки до верхней сплошной линии, 25% – от красной точки до нижней сплошной линии. Еще 25% результатов учеников находятся ниже закрашенного интервала, и 25% – выше, в </w:t>
      </w:r>
      <w:proofErr w:type="spellStart"/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незакрашенном</w:t>
      </w:r>
      <w:proofErr w:type="spellEnd"/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поле (или в точках, соответствующих максимальному баллу и 0 баллов). </w:t>
      </w:r>
    </w:p>
    <w:p w14:paraId="35F683FC" w14:textId="7C9C10BF" w:rsidR="008871F5" w:rsidRDefault="008871F5" w:rsidP="008871F5">
      <w:pPr>
        <w:pStyle w:val="Default"/>
        <w:ind w:firstLine="708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Аналогичные интервалы для муниципальных результатов обозначены красными штрихами. По соотношению вертикального штриха (МО) и закрашенной области (регион) можно судить о том, чем отличается распределение результатов в муниципальной системе от ситуации в среднем по краю.</w:t>
      </w:r>
    </w:p>
    <w:p w14:paraId="1A838677" w14:textId="77777777" w:rsidR="008871F5" w:rsidRDefault="008871F5" w:rsidP="00792B23">
      <w:pPr>
        <w:pStyle w:val="Default"/>
        <w:ind w:firstLine="708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W w:w="11892" w:type="dxa"/>
        <w:tblLook w:val="04A0" w:firstRow="1" w:lastRow="0" w:firstColumn="1" w:lastColumn="0" w:noHBand="0" w:noVBand="1"/>
      </w:tblPr>
      <w:tblGrid>
        <w:gridCol w:w="2416"/>
        <w:gridCol w:w="2676"/>
        <w:gridCol w:w="2536"/>
        <w:gridCol w:w="2148"/>
        <w:gridCol w:w="2116"/>
      </w:tblGrid>
      <w:tr w:rsidR="008871F5" w:rsidRPr="008871F5" w14:paraId="2BBA1BB5" w14:textId="77777777" w:rsidTr="008871F5">
        <w:trPr>
          <w:trHeight w:val="31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F446" w14:textId="2015D2A8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8871F5" w:rsidRPr="008871F5" w14:paraId="192C70A1" w14:textId="77777777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2FF64" w14:textId="77777777" w:rsidR="008871F5" w:rsidRPr="008871F5" w:rsidRDefault="008871F5" w:rsidP="008871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8871F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14:paraId="58E98709" w14:textId="1E115A61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471A" w14:textId="77EFAF05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A7A5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39FB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hideMark/>
          </w:tcPr>
          <w:p w14:paraId="5D33EA8D" w14:textId="77777777" w:rsidR="008871F5" w:rsidRPr="008871F5" w:rsidRDefault="008871F5" w:rsidP="008871F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39639D"/>
                <w:sz w:val="24"/>
                <w:szCs w:val="24"/>
                <w:lang w:eastAsia="ru-RU"/>
              </w:rPr>
            </w:pPr>
            <w:r w:rsidRPr="008871F5">
              <w:rPr>
                <w:rFonts w:ascii="Arial Narrow" w:eastAsia="Times New Roman" w:hAnsi="Arial Narrow" w:cs="Calibri"/>
                <w:color w:val="39639D"/>
                <w:sz w:val="24"/>
                <w:szCs w:val="24"/>
                <w:lang w:eastAsia="ru-RU"/>
              </w:rPr>
              <w:t>Рисунок 1</w:t>
            </w:r>
          </w:p>
        </w:tc>
      </w:tr>
      <w:tr w:rsidR="008871F5" w:rsidRPr="008871F5" w14:paraId="6C10BDFB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5CB9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03BB8" w14:textId="20ACF2A1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275D7F" wp14:editId="28BB5268">
                  <wp:simplePos x="0" y="0"/>
                  <wp:positionH relativeFrom="column">
                    <wp:posOffset>-598805</wp:posOffset>
                  </wp:positionH>
                  <wp:positionV relativeFrom="paragraph">
                    <wp:posOffset>-400685</wp:posOffset>
                  </wp:positionV>
                  <wp:extent cx="3562350" cy="2786380"/>
                  <wp:effectExtent l="0" t="0" r="0" b="0"/>
                  <wp:wrapNone/>
                  <wp:docPr id="6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78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FCFD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56EAD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3E18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15D0540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5254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8EE0" w14:textId="1EE54585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CF3C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E3C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D11B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573B23F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F407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00DF" w14:textId="71DCC8EF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6525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199A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0E23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0021138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9F95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08D3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6AA22" w14:textId="771CA32D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9BFCD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0199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F7AABE7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B4BA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1923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243CE" w14:textId="41CAEC3C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0262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48AB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E104E94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AED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18A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9EC1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35CD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E65B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07E3B654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379C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3A45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5017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5F3D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69F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093020DD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6569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56AF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4C2A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D048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3397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74802374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96C3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9611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E3A1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69D6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1629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7684B3B3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08D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9B32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B4AF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7D77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20C7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4335CB0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DA0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E3B7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D368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1A64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56F8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6EB62685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7A7F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2F13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C9FF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065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E1CDD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74E85F30" w14:textId="77777777" w:rsidTr="008871F5">
        <w:trPr>
          <w:trHeight w:val="1920"/>
        </w:trPr>
        <w:tc>
          <w:tcPr>
            <w:tcW w:w="11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91DB1" w14:textId="77777777" w:rsidR="008871F5" w:rsidRDefault="008871F5" w:rsidP="008871F5">
            <w:pPr>
              <w:spacing w:after="0" w:line="240" w:lineRule="auto"/>
              <w:ind w:right="228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71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      Аналогичным образом построены графики, показывающие соотношение муниципальных и региональных результатов по каждой из четырех предметных областей: "Русский язык", "Математика", "Естествознание", "История". Длинные вертикальные штрихи показывают значительный разброс результатов, что говорит о том, что образовательные практики в разных классах очень отличаются, нет разработанных подходов к формированию результатов нового типа.</w:t>
            </w:r>
          </w:p>
          <w:p w14:paraId="3507522D" w14:textId="2A6A13DF" w:rsidR="008871F5" w:rsidRPr="008871F5" w:rsidRDefault="008871F5" w:rsidP="008871F5">
            <w:pPr>
              <w:spacing w:after="0" w:line="240" w:lineRule="auto"/>
              <w:ind w:right="228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871F5" w:rsidRPr="008871F5" w14:paraId="7B3F477D" w14:textId="77777777" w:rsidTr="008871F5">
        <w:trPr>
          <w:trHeight w:val="31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8A24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891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5DE2B" w14:textId="0C98842A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8F4E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4797" w14:textId="77777777" w:rsidR="008871F5" w:rsidRPr="008871F5" w:rsidRDefault="008871F5" w:rsidP="008871F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39639D"/>
                <w:sz w:val="24"/>
                <w:szCs w:val="24"/>
                <w:lang w:eastAsia="ru-RU"/>
              </w:rPr>
            </w:pPr>
            <w:r w:rsidRPr="008871F5">
              <w:rPr>
                <w:rFonts w:ascii="Arial Narrow" w:eastAsia="Times New Roman" w:hAnsi="Arial Narrow" w:cs="Calibri"/>
                <w:color w:val="39639D"/>
                <w:sz w:val="24"/>
                <w:szCs w:val="24"/>
                <w:lang w:eastAsia="ru-RU"/>
              </w:rPr>
              <w:t>Рисунок 2</w:t>
            </w:r>
          </w:p>
        </w:tc>
      </w:tr>
      <w:tr w:rsidR="008871F5" w:rsidRPr="008871F5" w14:paraId="464591EC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68C3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9D29" w14:textId="6C10B99B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8871F5" w:rsidRPr="008871F5" w14:paraId="6EE7D7A7" w14:textId="77777777">
              <w:trPr>
                <w:trHeight w:val="300"/>
                <w:tblCellSpacing w:w="0" w:type="dxa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FECAF" w14:textId="71CFEDA7" w:rsidR="008871F5" w:rsidRPr="008871F5" w:rsidRDefault="008871F5" w:rsidP="008871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8871F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14:paraId="4F4918F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2913" w14:textId="5E1FFDC4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78EF9" w14:textId="1B56B409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D4D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17B38D01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BDA7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89E8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6B421" w14:textId="5212EEFD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C4B3B2D" wp14:editId="1C09A4D9">
                  <wp:simplePos x="0" y="0"/>
                  <wp:positionH relativeFrom="column">
                    <wp:posOffset>-554990</wp:posOffset>
                  </wp:positionH>
                  <wp:positionV relativeFrom="paragraph">
                    <wp:posOffset>-533400</wp:posOffset>
                  </wp:positionV>
                  <wp:extent cx="3218180" cy="3072130"/>
                  <wp:effectExtent l="0" t="0" r="1270" b="0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180" cy="307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1EF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5E6C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6DF8066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52CFD" w14:textId="637B84C5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83AA150" wp14:editId="4B3E26FA">
                  <wp:simplePos x="0" y="0"/>
                  <wp:positionH relativeFrom="column">
                    <wp:posOffset>-591185</wp:posOffset>
                  </wp:positionH>
                  <wp:positionV relativeFrom="paragraph">
                    <wp:posOffset>-723900</wp:posOffset>
                  </wp:positionV>
                  <wp:extent cx="3240405" cy="3072130"/>
                  <wp:effectExtent l="0" t="0" r="0" b="0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307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C6A5" w14:textId="27F5C625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6E87" w14:textId="4BD8DDC8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CE89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2CD0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19EC2D27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D852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D035" w14:textId="7FD68364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54D1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AF19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2712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5F93E72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D034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40AB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C10B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9BDC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17DF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7BAAC0B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D889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DAEE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C51B4" w14:textId="52F32A6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223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73CF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73A4465C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6F37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620E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8F22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E402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FA90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B09FCD8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C28F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B603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726CD" w14:textId="6FF2C748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8624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E6B5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4B023B1E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5C27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0FF9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AAAA4" w14:textId="037C69BF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0F41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053F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D988AF2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2C89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0DE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3761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53C8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FAC0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77482727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75B6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A511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4BA11" w14:textId="557842B6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2DD3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716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B687D85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30B1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D380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AAFF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C9D1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8FA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6456E7B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42E7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721D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AC93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62A1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3F1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785B6DE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C2F7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5A65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B6E1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A2B7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22AE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05055F3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244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DE2D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4B95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6E08D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13F91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180DAEF1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E0E9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887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E565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31827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2741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4D63F118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19C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208E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BA50A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7296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D2EA9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35FD5C1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50E8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BC8C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1814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999F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3BD3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30BB07D5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82BF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C7A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FD3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C7BD3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70F8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36E2559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837C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1302D" w14:textId="15C9A140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2087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C6A9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2122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6D081D04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AB5D" w14:textId="1ABD413A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9D511" w14:textId="1B8B16DA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FD58E" w14:textId="26B266E9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05D09" w14:textId="733241DE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F7F7853" wp14:editId="69C06746">
                  <wp:simplePos x="0" y="0"/>
                  <wp:positionH relativeFrom="column">
                    <wp:posOffset>-2134870</wp:posOffset>
                  </wp:positionH>
                  <wp:positionV relativeFrom="paragraph">
                    <wp:posOffset>-482600</wp:posOffset>
                  </wp:positionV>
                  <wp:extent cx="3255010" cy="3079115"/>
                  <wp:effectExtent l="0" t="0" r="2540" b="6985"/>
                  <wp:wrapNone/>
                  <wp:docPr id="17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010" cy="307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E01C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358957B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12D8" w14:textId="0D348B3F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D2A0144" wp14:editId="66E98AEA">
                  <wp:simplePos x="0" y="0"/>
                  <wp:positionH relativeFrom="column">
                    <wp:posOffset>-569595</wp:posOffset>
                  </wp:positionH>
                  <wp:positionV relativeFrom="paragraph">
                    <wp:posOffset>-782320</wp:posOffset>
                  </wp:positionV>
                  <wp:extent cx="3232785" cy="3079115"/>
                  <wp:effectExtent l="0" t="0" r="5715" b="6985"/>
                  <wp:wrapNone/>
                  <wp:docPr id="16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785" cy="307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5D3FE" w14:textId="5791A513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283EE" w14:textId="1AE738B4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BEDF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518E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0E3AD42B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B616F" w14:textId="615A5E55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9951" w14:textId="012D2323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A8E5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7255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F833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2E2DD9B3" w14:textId="77777777" w:rsidTr="008871F5">
        <w:trPr>
          <w:trHeight w:val="31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A25CE" w14:textId="2B85406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FB73" w14:textId="33106D34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31350" w14:textId="7C480D46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8DF2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5F2B" w14:textId="77777777" w:rsidR="008871F5" w:rsidRPr="008871F5" w:rsidRDefault="008871F5" w:rsidP="008871F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39639D"/>
                <w:sz w:val="24"/>
                <w:szCs w:val="24"/>
                <w:lang w:eastAsia="ru-RU"/>
              </w:rPr>
            </w:pPr>
            <w:r w:rsidRPr="008871F5">
              <w:rPr>
                <w:rFonts w:ascii="Arial Narrow" w:eastAsia="Times New Roman" w:hAnsi="Arial Narrow" w:cs="Calibri"/>
                <w:color w:val="39639D"/>
                <w:sz w:val="24"/>
                <w:szCs w:val="24"/>
                <w:lang w:eastAsia="ru-RU"/>
              </w:rPr>
              <w:t>Рисунок 3</w:t>
            </w:r>
          </w:p>
        </w:tc>
      </w:tr>
      <w:tr w:rsidR="008871F5" w:rsidRPr="008871F5" w14:paraId="4F82A8F0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58324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4D11F" w14:textId="5141A5AE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77252" w14:textId="59C61711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8862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1F43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71F5" w:rsidRPr="008871F5" w14:paraId="5BB46D7E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7D9A0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4B22D" w14:textId="40D22F52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228B85A1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9726F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7E93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66649B1D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23B5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62BC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371FB6B3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F990D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F68AE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4D83D150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0C28C" w14:textId="0F6ABF2B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466AD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508FC9EA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1DB6E" w14:textId="3145204D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DDFB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774C067B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1E6C8" w14:textId="62DFC195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592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57B59D17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18A4E" w14:textId="31462242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A248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871F5" w:rsidRPr="008871F5" w14:paraId="7D0AEDBA" w14:textId="77777777" w:rsidTr="008871F5">
        <w:trPr>
          <w:trHeight w:val="30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85BA3" w14:textId="0AC3441A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71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065B6" w14:textId="77777777" w:rsidR="008871F5" w:rsidRPr="008871F5" w:rsidRDefault="008871F5" w:rsidP="0088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CB17FB9" w14:textId="77777777" w:rsidR="001664DA" w:rsidRDefault="001664DA" w:rsidP="00427FFB">
      <w:pPr>
        <w:widowControl w:val="0"/>
        <w:spacing w:after="180" w:line="254" w:lineRule="exact"/>
        <w:ind w:firstLine="74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48F8CA5" w14:textId="77777777" w:rsidR="00497491" w:rsidRDefault="008871F5" w:rsidP="00427FFB">
      <w:pPr>
        <w:widowControl w:val="0"/>
        <w:spacing w:after="180" w:line="254" w:lineRule="exact"/>
        <w:ind w:firstLine="74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8871F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  В целом по краю лучше всего освоена первая группа читательских умений (поиск информации, общее понимание текста), хуже всего - третья группа (применение информации из текста для различных целей, осмысление и оценка содержания и формы текста). Наиболее трудными в 2022-23 учебном году оказались задания на материале русского языка самыми легкими – задания на материале естествознания (биологии). </w:t>
      </w:r>
    </w:p>
    <w:p w14:paraId="2275B3D5" w14:textId="77777777" w:rsidR="009C0909" w:rsidRPr="00C60B2B" w:rsidRDefault="008A5652" w:rsidP="009C0909">
      <w:pPr>
        <w:widowControl w:val="0"/>
        <w:spacing w:after="0" w:line="254" w:lineRule="exact"/>
        <w:ind w:firstLine="740"/>
        <w:jc w:val="both"/>
        <w:rPr>
          <w:rFonts w:ascii="Times New Roman" w:eastAsia="Arial Narrow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Arial Narrow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lastRenderedPageBreak/>
        <w:t>Необходимо принять у</w:t>
      </w:r>
      <w:r w:rsidR="009C0909" w:rsidRPr="00C60B2B">
        <w:rPr>
          <w:rFonts w:ascii="Times New Roman" w:eastAsia="Arial Narrow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>правленческие решения</w:t>
      </w:r>
    </w:p>
    <w:p w14:paraId="1C1C8093" w14:textId="77777777" w:rsidR="00E61597" w:rsidRPr="00E61597" w:rsidRDefault="00E61597" w:rsidP="00E61597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E61597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Руководителям методических объединений проанализировать результаты выполненных работ и выявить факторы, определившие результативность, составить планы по устранению причин низких результатов. Провести разбор заданий, которые вызвали наибольшие затруднения у обучающихся.</w:t>
      </w:r>
    </w:p>
    <w:p w14:paraId="0C7D5435" w14:textId="77777777" w:rsidR="00393F2D" w:rsidRDefault="009C0909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0526CE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Продолжить методическую работу по формированию ЧГ на учебных занятиях (методические часы, семинары, открытые занятия, педагогический совет).</w:t>
      </w:r>
    </w:p>
    <w:p w14:paraId="3F142FB3" w14:textId="77777777" w:rsidR="00393F2D" w:rsidRPr="00393F2D" w:rsidRDefault="00393F2D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Учителям–</w:t>
      </w:r>
      <w:r w:rsidR="009C0909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предметникам систематически организовывать работу на уроках по формированию умения</w:t>
      </w:r>
      <w:r w:rsidR="004649EF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C0909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глубокого и детального понимания содержания и формы текста, а также по осмыслению и оценке содержания и формы текста. </w:t>
      </w:r>
    </w:p>
    <w:p w14:paraId="0476B395" w14:textId="77777777" w:rsidR="00393F2D" w:rsidRPr="00393F2D" w:rsidRDefault="009C0909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Использовать групповые и парные формы работы на учебных занятиях</w:t>
      </w:r>
      <w:r w:rsidR="0038675A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14:paraId="58D40E87" w14:textId="77777777" w:rsidR="009C0909" w:rsidRPr="00393F2D" w:rsidRDefault="009C0909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Использовать при подготовке к уроку:</w:t>
      </w:r>
    </w:p>
    <w:p w14:paraId="5A3E421C" w14:textId="77777777" w:rsidR="009C0909" w:rsidRPr="009C0909" w:rsidRDefault="0038675A" w:rsidP="00C60B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Банк заданий по оценке функциональной грамотности, разработанный Институтом стратегии развития образования РАО: http://skiv.instrao.ru/bank-zadaniy/ </w:t>
      </w:r>
      <w:hyperlink r:id="rId11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https://fg.resh.edu.ru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217B09AF" w14:textId="77777777" w:rsidR="009C0909" w:rsidRPr="009C0909" w:rsidRDefault="0038675A" w:rsidP="00C6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-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Открытые Задания PISA на сайте ФИОКО: </w:t>
      </w:r>
      <w:hyperlink r:id="rId12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https://fioco.ru/примеры-задач-pisa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082F4C6E" w14:textId="77777777" w:rsidR="009C0909" w:rsidRPr="009C0909" w:rsidRDefault="0038675A" w:rsidP="00C6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-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Открытый банк заданий по естественнонаучной грамотности ФИПИ: </w:t>
      </w:r>
      <w:hyperlink r:id="rId13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https://fipi.ru/otkrytyy-bank-zadaniy-dlya-otsenki-yestestvennonauchnoy-gramotnosti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1993C0E0" w14:textId="77777777" w:rsidR="009C0909" w:rsidRPr="009C0909" w:rsidRDefault="0038675A" w:rsidP="00C60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-</w:t>
      </w:r>
      <w:r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«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Формирование и оценка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ФГ учащихся». Учебно-методическое пособие. </w:t>
      </w:r>
      <w:hyperlink r:id="rId14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https://cloud.mail.ru/public/dAD9/Q6Hv3MZYU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45B0B98" w14:textId="77777777" w:rsidR="0038675A" w:rsidRDefault="009C0909" w:rsidP="00C60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-    Компетенции «4К»: формирование и оценка на уроке. Практические рекомендации. </w:t>
      </w:r>
      <w:hyperlink r:id="rId15" w:history="1">
        <w:r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https://cloud.mail.ru/public/22jE/WDCooUhT2</w:t>
        </w:r>
      </w:hyperlink>
      <w:r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3D8A53A" w14:textId="77777777" w:rsidR="009C0909" w:rsidRPr="009C0909" w:rsidRDefault="0038675A" w:rsidP="00C60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Уроки формирования ФГ (работаем по ФГОС общего образования). </w:t>
      </w:r>
      <w:hyperlink r:id="rId16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https://cloud.mail.ru/public/FFRH/JcySyhQ7b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9478832" w14:textId="77777777" w:rsidR="001664DA" w:rsidRDefault="001664DA" w:rsidP="001664DA">
      <w:pPr>
        <w:ind w:left="-426" w:right="-143" w:firstLine="426"/>
        <w:rPr>
          <w:rFonts w:ascii="Times New Roman" w:hAnsi="Times New Roman" w:cs="Times New Roman"/>
          <w:sz w:val="24"/>
          <w:szCs w:val="24"/>
        </w:rPr>
      </w:pPr>
    </w:p>
    <w:p w14:paraId="04B00E43" w14:textId="77777777" w:rsidR="00427FFB" w:rsidRPr="0038675A" w:rsidRDefault="00427FFB" w:rsidP="00C60B2B">
      <w:pPr>
        <w:widowControl w:val="0"/>
        <w:spacing w:after="0" w:line="240" w:lineRule="auto"/>
        <w:ind w:firstLine="740"/>
        <w:jc w:val="both"/>
        <w:rPr>
          <w:rFonts w:eastAsia="Times New Roman"/>
          <w:bCs/>
          <w:color w:val="111115"/>
          <w:bdr w:val="none" w:sz="0" w:space="0" w:color="auto" w:frame="1"/>
        </w:rPr>
      </w:pPr>
    </w:p>
    <w:sectPr w:rsidR="00427FFB" w:rsidRPr="0038675A" w:rsidSect="00BD0B7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2050D"/>
    <w:multiLevelType w:val="hybridMultilevel"/>
    <w:tmpl w:val="D568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C7093"/>
    <w:multiLevelType w:val="hybridMultilevel"/>
    <w:tmpl w:val="66EE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D101B"/>
    <w:multiLevelType w:val="multilevel"/>
    <w:tmpl w:val="09267BA2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03"/>
    <w:rsid w:val="00001517"/>
    <w:rsid w:val="000027AD"/>
    <w:rsid w:val="00007AB3"/>
    <w:rsid w:val="00026EDF"/>
    <w:rsid w:val="00043A9E"/>
    <w:rsid w:val="000526CE"/>
    <w:rsid w:val="000E79AD"/>
    <w:rsid w:val="00107E60"/>
    <w:rsid w:val="001664DA"/>
    <w:rsid w:val="00173713"/>
    <w:rsid w:val="001762EF"/>
    <w:rsid w:val="00195C8F"/>
    <w:rsid w:val="001C2F83"/>
    <w:rsid w:val="001D2844"/>
    <w:rsid w:val="001D7C8A"/>
    <w:rsid w:val="00220FE5"/>
    <w:rsid w:val="00237985"/>
    <w:rsid w:val="0026692F"/>
    <w:rsid w:val="0031122F"/>
    <w:rsid w:val="00351336"/>
    <w:rsid w:val="0038675A"/>
    <w:rsid w:val="00393F2D"/>
    <w:rsid w:val="00427FFB"/>
    <w:rsid w:val="004304A3"/>
    <w:rsid w:val="00460C37"/>
    <w:rsid w:val="004649EF"/>
    <w:rsid w:val="00497491"/>
    <w:rsid w:val="005B201A"/>
    <w:rsid w:val="005E5D3F"/>
    <w:rsid w:val="00603F03"/>
    <w:rsid w:val="00670AE5"/>
    <w:rsid w:val="00680B03"/>
    <w:rsid w:val="0070452A"/>
    <w:rsid w:val="0070589C"/>
    <w:rsid w:val="00792B23"/>
    <w:rsid w:val="007A1CFB"/>
    <w:rsid w:val="007B4BAB"/>
    <w:rsid w:val="008871F5"/>
    <w:rsid w:val="008A5652"/>
    <w:rsid w:val="008C0411"/>
    <w:rsid w:val="009754FC"/>
    <w:rsid w:val="009C0909"/>
    <w:rsid w:val="009D5B18"/>
    <w:rsid w:val="00A36710"/>
    <w:rsid w:val="00A55A4B"/>
    <w:rsid w:val="00A74003"/>
    <w:rsid w:val="00B65DAE"/>
    <w:rsid w:val="00B84A4D"/>
    <w:rsid w:val="00B93BD8"/>
    <w:rsid w:val="00B94FF7"/>
    <w:rsid w:val="00BD0B74"/>
    <w:rsid w:val="00BE08DE"/>
    <w:rsid w:val="00C16C35"/>
    <w:rsid w:val="00C60B2B"/>
    <w:rsid w:val="00C83DF1"/>
    <w:rsid w:val="00D73309"/>
    <w:rsid w:val="00DB2CCE"/>
    <w:rsid w:val="00DD32B3"/>
    <w:rsid w:val="00DF4E96"/>
    <w:rsid w:val="00E00FC6"/>
    <w:rsid w:val="00E14694"/>
    <w:rsid w:val="00E574CE"/>
    <w:rsid w:val="00E61597"/>
    <w:rsid w:val="00EE7247"/>
    <w:rsid w:val="00F30599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8BC7"/>
  <w15:chartTrackingRefBased/>
  <w15:docId w15:val="{500B3C84-FEF3-4932-9530-BC4B678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rsid w:val="00E574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Колонтитул (2)"/>
    <w:basedOn w:val="2"/>
    <w:rsid w:val="00E574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7330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309"/>
    <w:pPr>
      <w:widowControl w:val="0"/>
      <w:shd w:val="clear" w:color="auto" w:fill="FFFFFF"/>
      <w:spacing w:before="60" w:after="0" w:line="259" w:lineRule="exact"/>
    </w:pPr>
    <w:rPr>
      <w:rFonts w:ascii="Arial Narrow" w:eastAsia="Arial Narrow" w:hAnsi="Arial Narrow" w:cs="Arial Narrow"/>
      <w:sz w:val="20"/>
      <w:szCs w:val="20"/>
    </w:rPr>
  </w:style>
  <w:style w:type="table" w:styleId="a3">
    <w:name w:val="Table Grid"/>
    <w:basedOn w:val="a1"/>
    <w:uiPriority w:val="39"/>
    <w:rsid w:val="0097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;Полужирный"/>
    <w:basedOn w:val="21"/>
    <w:rsid w:val="009754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30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A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26C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ioco.ru/&#1087;&#1088;&#1080;&#1084;&#1077;&#1088;&#1099;-&#1079;&#1072;&#1076;&#1072;&#1095;-pis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FFRH/JcySyhQ7b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g.resh.edu.ru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s://cloud.mail.ru/public/22jE/WDCooUhT2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cloud.mail.ru/public/dAD9/Q6Hv3MZY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ru-RU" sz="1200" b="0"/>
              <a:t>Распределение баллов</a:t>
            </a:r>
          </a:p>
        </c:rich>
      </c:tx>
      <c:layout>
        <c:manualLayout>
          <c:xMode val="edge"/>
          <c:yMode val="edge"/>
          <c:x val="0.33827138074211166"/>
          <c:y val="9.872477902557089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10983205753464"/>
          <c:y val="0.11158155973077619"/>
          <c:w val="0.77767664109353396"/>
          <c:h val="0.678442088303318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Лист1!$F$3</c:f>
              <c:strCache>
                <c:ptCount val="1"/>
                <c:pt idx="0">
                  <c:v>МО</c:v>
                </c:pt>
              </c:strCache>
            </c:strRef>
          </c:tx>
          <c:spPr>
            <a:solidFill>
              <a:schemeClr val="bg2"/>
            </a:solidFill>
            <a:ln w="19050">
              <a:solidFill>
                <a:schemeClr val="accent4"/>
              </a:solidFill>
            </a:ln>
          </c:spPr>
          <c:invertIfNegative val="0"/>
          <c:cat>
            <c:numRef>
              <c:f>Лист1!$G$2:$AU$2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</c:numCache>
            </c:numRef>
          </c:cat>
          <c:val>
            <c:numRef>
              <c:f>Лист1!$G$3:$AU$3</c:f>
              <c:numCache>
                <c:formatCode>0%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2.4390243902439025E-2</c:v>
                </c:pt>
                <c:pt idx="6">
                  <c:v>1.2195121951219513E-2</c:v>
                </c:pt>
                <c:pt idx="7">
                  <c:v>2.4390243902439025E-2</c:v>
                </c:pt>
                <c:pt idx="8">
                  <c:v>1.2195121951219513E-2</c:v>
                </c:pt>
                <c:pt idx="9">
                  <c:v>1.2195121951219513E-2</c:v>
                </c:pt>
                <c:pt idx="10">
                  <c:v>7.3170731707317069E-2</c:v>
                </c:pt>
                <c:pt idx="11">
                  <c:v>3.6585365853658534E-2</c:v>
                </c:pt>
                <c:pt idx="12">
                  <c:v>3.6585365853658534E-2</c:v>
                </c:pt>
                <c:pt idx="13">
                  <c:v>3.6585365853658534E-2</c:v>
                </c:pt>
                <c:pt idx="14">
                  <c:v>6.097560975609756E-2</c:v>
                </c:pt>
                <c:pt idx="15">
                  <c:v>0</c:v>
                </c:pt>
                <c:pt idx="16">
                  <c:v>0.10975609756097561</c:v>
                </c:pt>
                <c:pt idx="17">
                  <c:v>6.097560975609756E-2</c:v>
                </c:pt>
                <c:pt idx="18">
                  <c:v>4.878048780487805E-2</c:v>
                </c:pt>
                <c:pt idx="19">
                  <c:v>6.097560975609756E-2</c:v>
                </c:pt>
                <c:pt idx="20">
                  <c:v>9.7560975609756101E-2</c:v>
                </c:pt>
                <c:pt idx="21">
                  <c:v>7.3170731707317069E-2</c:v>
                </c:pt>
                <c:pt idx="22">
                  <c:v>1.2195121951219513E-2</c:v>
                </c:pt>
                <c:pt idx="23">
                  <c:v>2.4390243902439025E-2</c:v>
                </c:pt>
                <c:pt idx="24">
                  <c:v>1.2195121951219513E-2</c:v>
                </c:pt>
                <c:pt idx="25">
                  <c:v>1.2195121951219513E-2</c:v>
                </c:pt>
                <c:pt idx="26">
                  <c:v>7.3170731707317069E-2</c:v>
                </c:pt>
                <c:pt idx="27">
                  <c:v>2.4390243902439025E-2</c:v>
                </c:pt>
                <c:pt idx="28">
                  <c:v>3.6585365853658534E-2</c:v>
                </c:pt>
                <c:pt idx="29">
                  <c:v>0</c:v>
                </c:pt>
                <c:pt idx="30">
                  <c:v>1.2195121951219513E-2</c:v>
                </c:pt>
                <c:pt idx="31">
                  <c:v>0</c:v>
                </c:pt>
                <c:pt idx="32">
                  <c:v>1.2195121951219513E-2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E9-4F46-B0D4-3AEA0D75C2C5}"/>
            </c:ext>
          </c:extLst>
        </c:ser>
        <c:ser>
          <c:idx val="1"/>
          <c:order val="1"/>
          <c:tx>
            <c:v>край</c:v>
          </c:tx>
          <c:spPr>
            <a:solidFill>
              <a:schemeClr val="accent4"/>
            </a:solidFill>
            <a:ln w="19050">
              <a:solidFill>
                <a:schemeClr val="accent5"/>
              </a:solidFill>
            </a:ln>
          </c:spPr>
          <c:invertIfNegative val="0"/>
          <c:cat>
            <c:numRef>
              <c:f>Лист1!$G$2:$AU$2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</c:numCache>
            </c:numRef>
          </c:cat>
          <c:val>
            <c:numRef>
              <c:f>Лист1!$G$4:$AU$4</c:f>
              <c:numCache>
                <c:formatCode>0%</c:formatCode>
                <c:ptCount val="41"/>
                <c:pt idx="0">
                  <c:v>1.1312217194570137E-3</c:v>
                </c:pt>
                <c:pt idx="1">
                  <c:v>3.3936651583710408E-3</c:v>
                </c:pt>
                <c:pt idx="2">
                  <c:v>3.3936651583710408E-3</c:v>
                </c:pt>
                <c:pt idx="3">
                  <c:v>9.0497737556561094E-3</c:v>
                </c:pt>
                <c:pt idx="4">
                  <c:v>1.4705882352941176E-2</c:v>
                </c:pt>
                <c:pt idx="5">
                  <c:v>1.9230769230769232E-2</c:v>
                </c:pt>
                <c:pt idx="6">
                  <c:v>3.7330316742081447E-2</c:v>
                </c:pt>
                <c:pt idx="7">
                  <c:v>4.6380090497737558E-2</c:v>
                </c:pt>
                <c:pt idx="8">
                  <c:v>2.9411764705882353E-2</c:v>
                </c:pt>
                <c:pt idx="9">
                  <c:v>4.8642533936651584E-2</c:v>
                </c:pt>
                <c:pt idx="10">
                  <c:v>4.9773755656108594E-2</c:v>
                </c:pt>
                <c:pt idx="11">
                  <c:v>4.1855203619909499E-2</c:v>
                </c:pt>
                <c:pt idx="12">
                  <c:v>4.8642533936651584E-2</c:v>
                </c:pt>
                <c:pt idx="13">
                  <c:v>5.5429864253393663E-2</c:v>
                </c:pt>
                <c:pt idx="14">
                  <c:v>5.7692307692307696E-2</c:v>
                </c:pt>
                <c:pt idx="15">
                  <c:v>5.4298642533936653E-2</c:v>
                </c:pt>
                <c:pt idx="16">
                  <c:v>3.8461538461538464E-2</c:v>
                </c:pt>
                <c:pt idx="17">
                  <c:v>5.2036199095022627E-2</c:v>
                </c:pt>
                <c:pt idx="18">
                  <c:v>4.7511312217194568E-2</c:v>
                </c:pt>
                <c:pt idx="19">
                  <c:v>3.9592760180995473E-2</c:v>
                </c:pt>
                <c:pt idx="20">
                  <c:v>3.9592760180995473E-2</c:v>
                </c:pt>
                <c:pt idx="21">
                  <c:v>3.6199095022624438E-2</c:v>
                </c:pt>
                <c:pt idx="22">
                  <c:v>4.4117647058823532E-2</c:v>
                </c:pt>
                <c:pt idx="23">
                  <c:v>2.2624434389140271E-2</c:v>
                </c:pt>
                <c:pt idx="24">
                  <c:v>2.6018099547511313E-2</c:v>
                </c:pt>
                <c:pt idx="25">
                  <c:v>2.4886877828054297E-2</c:v>
                </c:pt>
                <c:pt idx="26">
                  <c:v>2.1493212669683258E-2</c:v>
                </c:pt>
                <c:pt idx="27">
                  <c:v>1.9230769230769232E-2</c:v>
                </c:pt>
                <c:pt idx="28">
                  <c:v>1.2443438914027148E-2</c:v>
                </c:pt>
                <c:pt idx="29">
                  <c:v>1.6968325791855202E-2</c:v>
                </c:pt>
                <c:pt idx="30">
                  <c:v>1.1312217194570135E-2</c:v>
                </c:pt>
                <c:pt idx="31">
                  <c:v>1.2443438914027148E-2</c:v>
                </c:pt>
                <c:pt idx="32">
                  <c:v>6.7873303167420816E-3</c:v>
                </c:pt>
                <c:pt idx="33">
                  <c:v>2.2624434389140274E-3</c:v>
                </c:pt>
                <c:pt idx="34">
                  <c:v>1.1312217194570137E-3</c:v>
                </c:pt>
                <c:pt idx="35">
                  <c:v>4.5248868778280547E-3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E9-4F46-B0D4-3AEA0D75C2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overlap val="-28"/>
        <c:axId val="176833808"/>
        <c:axId val="176836240"/>
      </c:barChart>
      <c:catAx>
        <c:axId val="176833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39639D"/>
            </a:solidFill>
          </a:ln>
        </c:spPr>
        <c:crossAx val="176836240"/>
        <c:crosses val="autoZero"/>
        <c:auto val="1"/>
        <c:lblAlgn val="ctr"/>
        <c:lblOffset val="100"/>
        <c:noMultiLvlLbl val="0"/>
      </c:catAx>
      <c:valAx>
        <c:axId val="176836240"/>
        <c:scaling>
          <c:orientation val="minMax"/>
        </c:scaling>
        <c:delete val="0"/>
        <c:axPos val="l"/>
        <c:majorGridlines>
          <c:spPr>
            <a:ln w="3175">
              <a:solidFill>
                <a:schemeClr val="accent1"/>
              </a:solidFill>
              <a:prstDash val="dash"/>
            </a:ln>
          </c:spPr>
        </c:majorGridlines>
        <c:numFmt formatCode="0%" sourceLinked="1"/>
        <c:majorTickMark val="out"/>
        <c:minorTickMark val="none"/>
        <c:tickLblPos val="nextTo"/>
        <c:spPr>
          <a:ln w="9525" cmpd="sng">
            <a:solidFill>
              <a:schemeClr val="accent4"/>
            </a:solidFill>
            <a:prstDash val="solid"/>
          </a:ln>
        </c:spPr>
        <c:crossAx val="176833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55791435094092"/>
          <c:y val="0.91163393784769875"/>
          <c:w val="0.35512178970259661"/>
          <c:h val="5.9603685995541916E-2"/>
        </c:manualLayout>
      </c:layout>
      <c:overlay val="0"/>
    </c:legend>
    <c:plotVisOnly val="1"/>
    <c:dispBlanksAs val="gap"/>
    <c:showDLblsOverMax val="0"/>
  </c:chart>
  <c:spPr>
    <a:ln w="3175">
      <a:solidFill>
        <a:schemeClr val="accent4"/>
      </a:solidFill>
    </a:ln>
  </c:spPr>
  <c:txPr>
    <a:bodyPr/>
    <a:lstStyle/>
    <a:p>
      <a:pPr>
        <a:defRPr sz="1200" baseline="0"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Специалист</cp:lastModifiedBy>
  <cp:revision>65</cp:revision>
  <cp:lastPrinted>2022-01-10T03:35:00Z</cp:lastPrinted>
  <dcterms:created xsi:type="dcterms:W3CDTF">2022-01-10T01:35:00Z</dcterms:created>
  <dcterms:modified xsi:type="dcterms:W3CDTF">2023-02-27T03:05:00Z</dcterms:modified>
</cp:coreProperties>
</file>