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4CE" w:rsidRDefault="00E574CE" w:rsidP="00E574CE">
      <w:pPr>
        <w:spacing w:after="0" w:line="240" w:lineRule="auto"/>
        <w:jc w:val="center"/>
        <w:rPr>
          <w:rStyle w:val="20"/>
          <w:rFonts w:eastAsiaTheme="minorHAnsi"/>
          <w:bCs w:val="0"/>
          <w:sz w:val="28"/>
          <w:szCs w:val="28"/>
        </w:rPr>
      </w:pPr>
      <w:r>
        <w:rPr>
          <w:rStyle w:val="20"/>
          <w:rFonts w:eastAsiaTheme="minorHAnsi"/>
          <w:bCs w:val="0"/>
          <w:sz w:val="28"/>
          <w:szCs w:val="28"/>
        </w:rPr>
        <w:t>Аналитическая справка по тогам проведения д</w:t>
      </w:r>
      <w:r w:rsidRPr="00E574CE">
        <w:rPr>
          <w:rStyle w:val="20"/>
          <w:rFonts w:eastAsia="Arial Narrow"/>
          <w:bCs w:val="0"/>
          <w:sz w:val="28"/>
          <w:szCs w:val="28"/>
        </w:rPr>
        <w:t>иагностическ</w:t>
      </w:r>
      <w:r>
        <w:rPr>
          <w:rStyle w:val="20"/>
          <w:rFonts w:eastAsiaTheme="minorHAnsi"/>
          <w:bCs w:val="0"/>
          <w:sz w:val="28"/>
          <w:szCs w:val="28"/>
        </w:rPr>
        <w:t>ой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работ</w:t>
      </w:r>
      <w:r>
        <w:rPr>
          <w:rStyle w:val="20"/>
          <w:rFonts w:eastAsiaTheme="minorHAnsi"/>
          <w:bCs w:val="0"/>
          <w:sz w:val="28"/>
          <w:szCs w:val="28"/>
        </w:rPr>
        <w:t>ы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</w:t>
      </w:r>
    </w:p>
    <w:p w:rsidR="009754FC" w:rsidRDefault="00E574CE" w:rsidP="00E574CE">
      <w:pPr>
        <w:spacing w:after="0" w:line="240" w:lineRule="auto"/>
        <w:jc w:val="center"/>
        <w:rPr>
          <w:rStyle w:val="20"/>
          <w:rFonts w:eastAsia="Arial Narrow"/>
          <w:bCs w:val="0"/>
          <w:sz w:val="28"/>
          <w:szCs w:val="28"/>
        </w:rPr>
      </w:pPr>
      <w:r w:rsidRPr="00E574CE">
        <w:rPr>
          <w:rStyle w:val="20"/>
          <w:rFonts w:eastAsia="Arial Narrow"/>
          <w:bCs w:val="0"/>
          <w:sz w:val="28"/>
          <w:szCs w:val="28"/>
        </w:rPr>
        <w:t>по читател</w:t>
      </w:r>
      <w:r w:rsidRPr="00E574CE">
        <w:rPr>
          <w:rStyle w:val="20"/>
          <w:rFonts w:eastAsiaTheme="minorHAnsi"/>
          <w:bCs w:val="0"/>
          <w:sz w:val="28"/>
          <w:szCs w:val="28"/>
        </w:rPr>
        <w:t xml:space="preserve">ьской грамотности обучающихся 6-х </w:t>
      </w:r>
      <w:r w:rsidRPr="00E574CE">
        <w:rPr>
          <w:rStyle w:val="20"/>
          <w:rFonts w:eastAsia="Arial Narrow"/>
          <w:bCs w:val="0"/>
          <w:sz w:val="28"/>
          <w:szCs w:val="28"/>
        </w:rPr>
        <w:t>класс</w:t>
      </w:r>
      <w:r w:rsidRPr="00E574CE">
        <w:rPr>
          <w:rStyle w:val="20"/>
          <w:rFonts w:eastAsiaTheme="minorHAnsi"/>
          <w:bCs w:val="0"/>
          <w:sz w:val="28"/>
          <w:szCs w:val="28"/>
        </w:rPr>
        <w:t>ов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</w:t>
      </w:r>
      <w:r w:rsidRPr="00E574CE">
        <w:rPr>
          <w:rStyle w:val="20"/>
          <w:rFonts w:eastAsiaTheme="minorHAnsi"/>
          <w:bCs w:val="0"/>
          <w:sz w:val="28"/>
          <w:szCs w:val="28"/>
        </w:rPr>
        <w:t>общеобразовательных учреждений Боготольского района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</w:t>
      </w:r>
    </w:p>
    <w:p w:rsidR="00E574CE" w:rsidRPr="00E574CE" w:rsidRDefault="00E574CE" w:rsidP="00E574CE">
      <w:pPr>
        <w:spacing w:after="0" w:line="240" w:lineRule="auto"/>
        <w:jc w:val="center"/>
        <w:rPr>
          <w:sz w:val="28"/>
          <w:szCs w:val="28"/>
        </w:rPr>
      </w:pPr>
      <w:r w:rsidRPr="00E574CE">
        <w:rPr>
          <w:rStyle w:val="20"/>
          <w:rFonts w:eastAsia="Arial Narrow"/>
          <w:bCs w:val="0"/>
          <w:sz w:val="28"/>
          <w:szCs w:val="28"/>
        </w:rPr>
        <w:t>в 2021</w:t>
      </w:r>
      <w:r w:rsidR="009754FC">
        <w:rPr>
          <w:rStyle w:val="20"/>
          <w:rFonts w:eastAsia="Arial Narrow"/>
          <w:bCs w:val="0"/>
          <w:sz w:val="28"/>
          <w:szCs w:val="28"/>
        </w:rPr>
        <w:t>-2022 учебном</w:t>
      </w:r>
      <w:r w:rsidRPr="00E574CE">
        <w:rPr>
          <w:rStyle w:val="20"/>
          <w:rFonts w:eastAsia="Arial Narrow"/>
          <w:bCs w:val="0"/>
          <w:sz w:val="28"/>
          <w:szCs w:val="28"/>
        </w:rPr>
        <w:t xml:space="preserve"> году</w:t>
      </w:r>
    </w:p>
    <w:p w:rsidR="00D73309" w:rsidRPr="00C83DF1" w:rsidRDefault="00D73309" w:rsidP="00220FE5">
      <w:pPr>
        <w:pStyle w:val="22"/>
        <w:shd w:val="clear" w:color="auto" w:fill="auto"/>
        <w:spacing w:before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C83D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ноябре 2021 г. в диагностической работе по читательской грамотности для 6-х классов приняли участие 97 обучающихся.</w:t>
      </w:r>
    </w:p>
    <w:p w:rsidR="00D73309" w:rsidRDefault="00D73309" w:rsidP="00220FE5">
      <w:pPr>
        <w:pStyle w:val="22"/>
        <w:shd w:val="clear" w:color="auto" w:fill="auto"/>
        <w:spacing w:before="0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C83D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Основные результаты по муниципальному образованию приведены в сопоставлен</w:t>
      </w:r>
      <w:r w:rsidR="00220FE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ии с данными по региону</w:t>
      </w:r>
      <w:r w:rsidRPr="00C83DF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C83DF1" w:rsidRPr="00C83DF1" w:rsidRDefault="00C83DF1" w:rsidP="00D73309">
      <w:pPr>
        <w:pStyle w:val="22"/>
        <w:shd w:val="clear" w:color="auto" w:fill="auto"/>
        <w:spacing w:before="0"/>
        <w:ind w:firstLine="60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76"/>
        <w:gridCol w:w="2122"/>
        <w:gridCol w:w="1851"/>
        <w:gridCol w:w="1843"/>
        <w:gridCol w:w="1842"/>
      </w:tblGrid>
      <w:tr w:rsidR="007B4BAB" w:rsidRPr="00C83DF1" w:rsidTr="00F30599">
        <w:trPr>
          <w:trHeight w:val="283"/>
        </w:trPr>
        <w:tc>
          <w:tcPr>
            <w:tcW w:w="4098" w:type="dxa"/>
            <w:gridSpan w:val="2"/>
            <w:vMerge w:val="restart"/>
            <w:vAlign w:val="center"/>
          </w:tcPr>
          <w:p w:rsidR="007B4BAB" w:rsidRPr="00C83DF1" w:rsidRDefault="007B4BAB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Основные результаты выполнения диагностической работы по читательской грамотности</w:t>
            </w:r>
          </w:p>
        </w:tc>
        <w:tc>
          <w:tcPr>
            <w:tcW w:w="3694" w:type="dxa"/>
            <w:gridSpan w:val="2"/>
            <w:vAlign w:val="center"/>
          </w:tcPr>
          <w:p w:rsidR="007B4BAB" w:rsidRPr="00C83DF1" w:rsidRDefault="007B4BAB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C83D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Среднее значение по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Боготольскому району</w:t>
            </w:r>
            <w:r w:rsidRPr="00C83D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(%)</w:t>
            </w:r>
          </w:p>
        </w:tc>
        <w:tc>
          <w:tcPr>
            <w:tcW w:w="1842" w:type="dxa"/>
            <w:vAlign w:val="center"/>
          </w:tcPr>
          <w:p w:rsidR="007B4BAB" w:rsidRPr="00C83DF1" w:rsidRDefault="007B4BAB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Среднее значение по краю (%)</w:t>
            </w:r>
          </w:p>
        </w:tc>
      </w:tr>
      <w:tr w:rsidR="007B4BAB" w:rsidRPr="00C83DF1" w:rsidTr="00F30599">
        <w:trPr>
          <w:trHeight w:val="283"/>
        </w:trPr>
        <w:tc>
          <w:tcPr>
            <w:tcW w:w="4098" w:type="dxa"/>
            <w:gridSpan w:val="2"/>
            <w:vMerge/>
            <w:vAlign w:val="center"/>
          </w:tcPr>
          <w:p w:rsidR="007B4BAB" w:rsidRPr="00C83DF1" w:rsidRDefault="007B4BAB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:rsidR="007B4BAB" w:rsidRPr="00C83DF1" w:rsidRDefault="00043A9E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2020-</w:t>
            </w:r>
            <w:r w:rsidR="007B4B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21 уч.г.</w:t>
            </w:r>
          </w:p>
        </w:tc>
        <w:tc>
          <w:tcPr>
            <w:tcW w:w="1843" w:type="dxa"/>
          </w:tcPr>
          <w:p w:rsidR="007B4BAB" w:rsidRPr="00C83DF1" w:rsidRDefault="00043A9E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2021-</w:t>
            </w:r>
            <w:r w:rsidR="007B4B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22 уч.г.</w:t>
            </w:r>
          </w:p>
        </w:tc>
        <w:tc>
          <w:tcPr>
            <w:tcW w:w="1842" w:type="dxa"/>
            <w:vAlign w:val="center"/>
          </w:tcPr>
          <w:p w:rsidR="007B4BAB" w:rsidRPr="00C83DF1" w:rsidRDefault="00043A9E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2021-</w:t>
            </w:r>
            <w:r w:rsidR="00E1469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22 уч.г.</w:t>
            </w:r>
          </w:p>
        </w:tc>
      </w:tr>
      <w:tr w:rsidR="00A55A4B" w:rsidRPr="00C83DF1" w:rsidTr="00F30599">
        <w:trPr>
          <w:trHeight w:val="283"/>
        </w:trPr>
        <w:tc>
          <w:tcPr>
            <w:tcW w:w="9634" w:type="dxa"/>
            <w:gridSpan w:val="5"/>
          </w:tcPr>
          <w:p w:rsidR="00A55A4B" w:rsidRDefault="00A55A4B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Успешность выполнения (% от максимального балла)</w:t>
            </w:r>
          </w:p>
          <w:p w:rsidR="00A55A4B" w:rsidRPr="00C83DF1" w:rsidRDefault="00A55A4B" w:rsidP="00C83DF1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</w:p>
        </w:tc>
      </w:tr>
      <w:tr w:rsidR="00E14694" w:rsidRPr="00C83DF1" w:rsidTr="00F30599">
        <w:trPr>
          <w:trHeight w:val="283"/>
        </w:trPr>
        <w:tc>
          <w:tcPr>
            <w:tcW w:w="4098" w:type="dxa"/>
            <w:gridSpan w:val="2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Вся работ</w:t>
            </w: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(балл по 100-балльной шкале)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 w:val="restart"/>
            <w:vAlign w:val="center"/>
          </w:tcPr>
          <w:p w:rsidR="00E14694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Задания по группам умений</w:t>
            </w:r>
          </w:p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(% от макс.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балла)</w:t>
            </w: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Общее понимание и ориентация в тексте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65,5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53,9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53,2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Глубокое и детальное понимание содержания и формы текста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52,5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37,3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35,6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Применение информации из текста для различных целей,</w:t>
            </w:r>
            <w:r w:rsidRPr="00C83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осмысление и оценка содержания и формы текста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35,2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37,0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27,9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 w:val="restart"/>
            <w:vAlign w:val="center"/>
          </w:tcPr>
          <w:p w:rsidR="00E14694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Задания по предметным областям </w:t>
            </w:r>
          </w:p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(% от макс. 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балла)</w:t>
            </w: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Естествознание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49,5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41,9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40,0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Математика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46,3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37,5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31,9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История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47,4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43,7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36,3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  <w:tr w:rsidR="00E14694" w:rsidRPr="00C83DF1" w:rsidTr="00F30599">
        <w:trPr>
          <w:trHeight w:val="283"/>
        </w:trPr>
        <w:tc>
          <w:tcPr>
            <w:tcW w:w="1976" w:type="dxa"/>
            <w:vMerge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1851" w:type="dxa"/>
            <w:vAlign w:val="center"/>
          </w:tcPr>
          <w:p w:rsidR="00E14694" w:rsidRPr="00C83DF1" w:rsidRDefault="00A55A4B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52,2</w:t>
            </w:r>
            <w:r w:rsidR="00E14694"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3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40,6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 w:rsidR="00E14694" w:rsidRPr="00C83DF1" w:rsidRDefault="00E14694" w:rsidP="00E14694">
            <w:pPr>
              <w:pStyle w:val="22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39,3</w:t>
            </w:r>
            <w:r w:rsidRPr="00C83DF1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%</w:t>
            </w:r>
          </w:p>
        </w:tc>
      </w:tr>
    </w:tbl>
    <w:p w:rsidR="009754FC" w:rsidRDefault="009754FC" w:rsidP="00D73309">
      <w:pPr>
        <w:pStyle w:val="22"/>
        <w:shd w:val="clear" w:color="auto" w:fill="auto"/>
        <w:spacing w:before="0"/>
        <w:ind w:firstLine="600"/>
      </w:pPr>
    </w:p>
    <w:p w:rsidR="00237985" w:rsidRDefault="00237985" w:rsidP="00D73309">
      <w:pPr>
        <w:pStyle w:val="22"/>
        <w:shd w:val="clear" w:color="auto" w:fill="auto"/>
        <w:spacing w:before="0"/>
        <w:ind w:firstLine="600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69"/>
        <w:gridCol w:w="1040"/>
        <w:gridCol w:w="998"/>
        <w:gridCol w:w="995"/>
        <w:gridCol w:w="971"/>
        <w:gridCol w:w="936"/>
        <w:gridCol w:w="936"/>
        <w:gridCol w:w="1005"/>
        <w:gridCol w:w="1084"/>
      </w:tblGrid>
      <w:tr w:rsidR="009D5B18" w:rsidTr="009D5B18">
        <w:tc>
          <w:tcPr>
            <w:tcW w:w="9634" w:type="dxa"/>
            <w:gridSpan w:val="9"/>
          </w:tcPr>
          <w:p w:rsidR="009D5B18" w:rsidRDefault="009D5B18" w:rsidP="009D5B18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18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Уровни читательской грамотности </w:t>
            </w:r>
          </w:p>
          <w:p w:rsidR="009D5B18" w:rsidRDefault="009D5B18" w:rsidP="009D5B18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D5B18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(% обучающихся, результаты которых соответствуют данному уровню)</w:t>
            </w:r>
          </w:p>
          <w:p w:rsidR="00237985" w:rsidRPr="009D5B18" w:rsidRDefault="00237985" w:rsidP="009D5B18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A36710" w:rsidTr="005B201A">
        <w:tc>
          <w:tcPr>
            <w:tcW w:w="1154" w:type="dxa"/>
          </w:tcPr>
          <w:p w:rsidR="00A36710" w:rsidRPr="00A36710" w:rsidRDefault="00A36710" w:rsidP="009D5B18">
            <w:pPr>
              <w:pStyle w:val="Default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6710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Уровень</w:t>
            </w:r>
          </w:p>
        </w:tc>
        <w:tc>
          <w:tcPr>
            <w:tcW w:w="2082" w:type="dxa"/>
            <w:gridSpan w:val="2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Недостаточный</w:t>
            </w:r>
          </w:p>
        </w:tc>
        <w:tc>
          <w:tcPr>
            <w:tcW w:w="2084" w:type="dxa"/>
            <w:gridSpan w:val="2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Пониженный</w:t>
            </w:r>
          </w:p>
        </w:tc>
        <w:tc>
          <w:tcPr>
            <w:tcW w:w="2084" w:type="dxa"/>
            <w:gridSpan w:val="2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Базовый</w:t>
            </w:r>
          </w:p>
        </w:tc>
        <w:tc>
          <w:tcPr>
            <w:tcW w:w="2230" w:type="dxa"/>
            <w:gridSpan w:val="2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Повышенный</w:t>
            </w:r>
          </w:p>
        </w:tc>
      </w:tr>
      <w:tr w:rsidR="00A36710" w:rsidTr="005B201A">
        <w:tc>
          <w:tcPr>
            <w:tcW w:w="1154" w:type="dxa"/>
          </w:tcPr>
          <w:p w:rsidR="00A36710" w:rsidRPr="00A36710" w:rsidRDefault="00A36710" w:rsidP="00A36710">
            <w:pPr>
              <w:pStyle w:val="Default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36710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>Учебный год</w:t>
            </w:r>
          </w:p>
        </w:tc>
        <w:tc>
          <w:tcPr>
            <w:tcW w:w="1041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2020-21</w:t>
            </w:r>
          </w:p>
        </w:tc>
        <w:tc>
          <w:tcPr>
            <w:tcW w:w="1041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2021-22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2020-21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2021-22</w:t>
            </w:r>
          </w:p>
        </w:tc>
        <w:tc>
          <w:tcPr>
            <w:tcW w:w="1042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2020-21</w:t>
            </w:r>
          </w:p>
        </w:tc>
        <w:tc>
          <w:tcPr>
            <w:tcW w:w="1042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2021-22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2020-21</w:t>
            </w:r>
          </w:p>
        </w:tc>
        <w:tc>
          <w:tcPr>
            <w:tcW w:w="1188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201A">
              <w:rPr>
                <w:rStyle w:val="285pt"/>
                <w:rFonts w:ascii="Times New Roman" w:hAnsi="Times New Roman" w:cs="Times New Roman"/>
                <w:color w:val="auto"/>
                <w:sz w:val="20"/>
                <w:szCs w:val="20"/>
              </w:rPr>
              <w:t>2021-22</w:t>
            </w:r>
          </w:p>
        </w:tc>
      </w:tr>
      <w:tr w:rsidR="00A36710" w:rsidTr="005B201A">
        <w:tc>
          <w:tcPr>
            <w:tcW w:w="1154" w:type="dxa"/>
          </w:tcPr>
          <w:p w:rsidR="00A36710" w:rsidRDefault="00A36710" w:rsidP="00A36710">
            <w:pPr>
              <w:pStyle w:val="Default"/>
              <w:jc w:val="both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Боготольский район (%)</w:t>
            </w:r>
          </w:p>
        </w:tc>
        <w:tc>
          <w:tcPr>
            <w:tcW w:w="1041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5,8</w:t>
            </w:r>
          </w:p>
        </w:tc>
        <w:tc>
          <w:tcPr>
            <w:tcW w:w="1041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18,6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17,3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23,7</w:t>
            </w:r>
          </w:p>
        </w:tc>
        <w:tc>
          <w:tcPr>
            <w:tcW w:w="1042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51,9</w:t>
            </w:r>
          </w:p>
        </w:tc>
        <w:tc>
          <w:tcPr>
            <w:tcW w:w="1042" w:type="dxa"/>
            <w:shd w:val="clear" w:color="auto" w:fill="FFFF99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47,4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25,0</w:t>
            </w:r>
          </w:p>
        </w:tc>
        <w:tc>
          <w:tcPr>
            <w:tcW w:w="1188" w:type="dxa"/>
            <w:shd w:val="clear" w:color="auto" w:fill="BDD6EE" w:themeFill="accent1" w:themeFillTint="66"/>
          </w:tcPr>
          <w:p w:rsidR="00A36710" w:rsidRPr="005B201A" w:rsidRDefault="00A36710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10,3</w:t>
            </w:r>
          </w:p>
        </w:tc>
      </w:tr>
      <w:tr w:rsidR="00237985" w:rsidTr="005B201A">
        <w:tc>
          <w:tcPr>
            <w:tcW w:w="1154" w:type="dxa"/>
          </w:tcPr>
          <w:p w:rsidR="00A36710" w:rsidRDefault="00A36710" w:rsidP="00A36710">
            <w:pPr>
              <w:pStyle w:val="Default"/>
              <w:jc w:val="both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Красноярский край (%)</w:t>
            </w:r>
          </w:p>
        </w:tc>
        <w:tc>
          <w:tcPr>
            <w:tcW w:w="1041" w:type="dxa"/>
            <w:shd w:val="clear" w:color="auto" w:fill="FFFF99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11,5</w:t>
            </w:r>
          </w:p>
        </w:tc>
        <w:tc>
          <w:tcPr>
            <w:tcW w:w="1041" w:type="dxa"/>
            <w:shd w:val="clear" w:color="auto" w:fill="FFFF99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22,7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30,1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34,9</w:t>
            </w:r>
          </w:p>
        </w:tc>
        <w:tc>
          <w:tcPr>
            <w:tcW w:w="1042" w:type="dxa"/>
            <w:shd w:val="clear" w:color="auto" w:fill="FFFF99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51,3</w:t>
            </w:r>
          </w:p>
        </w:tc>
        <w:tc>
          <w:tcPr>
            <w:tcW w:w="1042" w:type="dxa"/>
            <w:shd w:val="clear" w:color="auto" w:fill="FFFF99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34,7</w:t>
            </w:r>
          </w:p>
        </w:tc>
        <w:tc>
          <w:tcPr>
            <w:tcW w:w="1042" w:type="dxa"/>
            <w:shd w:val="clear" w:color="auto" w:fill="BDD6EE" w:themeFill="accent1" w:themeFillTint="66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7,1</w:t>
            </w:r>
          </w:p>
        </w:tc>
        <w:tc>
          <w:tcPr>
            <w:tcW w:w="1188" w:type="dxa"/>
            <w:shd w:val="clear" w:color="auto" w:fill="BDD6EE" w:themeFill="accent1" w:themeFillTint="66"/>
          </w:tcPr>
          <w:p w:rsidR="00A36710" w:rsidRPr="005B201A" w:rsidRDefault="00237985" w:rsidP="005B201A">
            <w:pPr>
              <w:pStyle w:val="Default"/>
              <w:jc w:val="center"/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5B201A">
              <w:rPr>
                <w:rStyle w:val="285pt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7,7</w:t>
            </w:r>
          </w:p>
        </w:tc>
      </w:tr>
    </w:tbl>
    <w:p w:rsidR="00043A9E" w:rsidRDefault="00043A9E" w:rsidP="009D5B18">
      <w:pPr>
        <w:pStyle w:val="Default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43A9E" w:rsidRDefault="00043A9E" w:rsidP="004304A3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A1CFB" w:rsidRDefault="004304A3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В 2021-22 учебном году заметно сократилась доля учеников, достигших базового </w:t>
      </w:r>
      <w:r w:rsidR="0000151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и повышенного 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уровней (в сумме </w:t>
      </w:r>
      <w:r w:rsidR="00043A9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57,7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% – при </w:t>
      </w:r>
      <w:r w:rsidR="00043A9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76,9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% в 2020-21 учебном году)</w:t>
      </w:r>
      <w:r w:rsidR="0000151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, но вместе с тем </w:t>
      </w:r>
      <w:r w:rsidR="0000151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и увеличилась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доля учеников, показавших пониженный уровень и уровень, недостаточный для дальнейшего обучения (в сумме </w:t>
      </w:r>
      <w:r w:rsidR="0000151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42,3%; в 2020-21 учебном году </w:t>
      </w:r>
      <w:r w:rsidR="00001517"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–</w:t>
      </w:r>
      <w:r w:rsidR="0000151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23,1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%). Возможно, это объясняется влиянием пандемии (карантинами, заболеваемостью учителей и </w:t>
      </w:r>
      <w:r w:rsidR="001C2F8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обучающихся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, сокращением возм</w:t>
      </w:r>
      <w:r w:rsidR="001C2F8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ожностей для внеурочной работы 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и т.д.). </w:t>
      </w:r>
      <w:r w:rsidR="001C2F8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В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ажно </w:t>
      </w:r>
      <w:r w:rsidR="001C2F8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отметить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, что только уровень</w:t>
      </w:r>
      <w:r w:rsidRPr="004304A3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недостаточный для дальнейшего обучения</w:t>
      </w:r>
      <w:r w:rsidR="001C2F8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(18,6% обучающихся)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, говорит о том, что ученик не продемонстрировал читательскую грамотность. Пониженный уровень </w:t>
      </w:r>
      <w:r w:rsidR="00FE6684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(23,7 % обучающихся) 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говорит о том, что ученик достиг минимального (порогового) уровня читательской грамотности, решает отдельные читательские задачи, иногда достаточно сложные, но его понимание текста в целом – фрагментарно и неточно. Базовый уровень</w:t>
      </w:r>
      <w:r w:rsidR="00EE724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(47,4% обучающихся)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показывает, что ученик демонстрирует разные группы читательских умений, верно понимает основное содержание текста. Повышенный уровень </w:t>
      </w:r>
      <w:r w:rsidR="00EE724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(10,3% обучающихся) 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говорит о том, что ученику по силам большинство предложенных читательских задач, он способен самостоятельно учиться на основе текстов. Таким образом, </w:t>
      </w:r>
      <w:r w:rsidR="00EE724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82,7</w:t>
      </w:r>
      <w:r w:rsidRPr="004304A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% 6-классников продемонстрировали читательскую грамотность на пониженном, базовом или повышенном уровне.</w:t>
      </w:r>
    </w:p>
    <w:p w:rsidR="00792B23" w:rsidRDefault="00792B23" w:rsidP="00792B23">
      <w:pPr>
        <w:pStyle w:val="Default"/>
        <w:ind w:firstLine="708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Рисунок 1</w:t>
      </w:r>
    </w:p>
    <w:p w:rsidR="00792B23" w:rsidRDefault="00792B23" w:rsidP="00792B23">
      <w:pPr>
        <w:pStyle w:val="Default"/>
        <w:ind w:firstLine="708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pStyle w:val="Default"/>
        <w:ind w:firstLine="708"/>
        <w:jc w:val="center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noProof/>
          <w:color w:val="auto"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7620</wp:posOffset>
            </wp:positionV>
            <wp:extent cx="4638040" cy="4166055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40" cy="416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2B23" w:rsidRDefault="00792B23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92B23" w:rsidRP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Освоение основных умений характеризуется не только средними значениями, но и разбросом индивид</w:t>
      </w:r>
      <w:r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уальных результатов. На графике </w:t>
      </w: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(см. Рисунок 1) представлено распределение результатов освоения трех групп читательских умений в Красноярском крае и в </w:t>
      </w:r>
      <w:r w:rsidR="001D7C8A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Боготольском районе</w:t>
      </w: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792B23" w:rsidRPr="00792B23" w:rsidRDefault="00792B23" w:rsidP="00792B23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Красными кружками на графике обозначены средние результаты выполнения заданий по каждой из трех групп читательских умений по краю. Каждая такая точка делит краевую выборку на две равные части - показавших результаты выше и ниже средних.</w:t>
      </w:r>
    </w:p>
    <w:p w:rsidR="00792B23" w:rsidRPr="00792B23" w:rsidRDefault="00792B23" w:rsidP="00460C37">
      <w:pPr>
        <w:widowControl w:val="0"/>
        <w:spacing w:after="0" w:line="254" w:lineRule="exact"/>
        <w:ind w:firstLine="42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Красными квадратами отмечены аналогичные средние результаты, но уже для муниципальной системы.</w:t>
      </w:r>
      <w:r w:rsidR="00460C3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Сплошной синей линией обозначены границы интервалов, в которых находятся результаты половины шестиклассников края: 25% из них лежат в интервале от красной точки до верхней сплошной линии, 25% - от красной точки до нижней сплошной линии. Еще 25% результатов учеников находятся ниже закрашенного интервала, и 25% - выше, в незакрашенном поле (или в точках, соответствующих максимальному баллу </w:t>
      </w: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и 0 баллов).</w:t>
      </w:r>
    </w:p>
    <w:p w:rsidR="00792B23" w:rsidRPr="00792B23" w:rsidRDefault="00792B23" w:rsidP="00792B23">
      <w:pPr>
        <w:widowControl w:val="0"/>
        <w:spacing w:after="0" w:line="254" w:lineRule="exac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Аналогичные интервалы для муниципальных результатов обозначены красными штрихами. По соотношению вертикального штриха (</w:t>
      </w:r>
      <w:r w:rsidR="00460C37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район</w:t>
      </w:r>
      <w:r w:rsidRPr="00792B23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) и закрашенной области (регион) можно судить о том, чем отличается распределение результатов в муниципальной системе от ситуации в среднем по краю.</w:t>
      </w:r>
    </w:p>
    <w:p w:rsidR="000027AD" w:rsidRDefault="0070452A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70452A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Аналогичным образом построены графики, показывающие соотношение муниципальных и региональных результатов по каждой из четырех предметных областей: "Русский язык", "Математика", "Естествознание", "История". Длинные вертикальные штрихи показывают значительный разброс результатов, что говорит о том, что образовательные практики в разных классах очень отличаются, нет разработанных подходов к формированию результатов нового типа.</w:t>
      </w:r>
    </w:p>
    <w:p w:rsidR="00195C8F" w:rsidRDefault="00195C8F" w:rsidP="00E00FC6">
      <w:pPr>
        <w:pStyle w:val="Default"/>
        <w:ind w:firstLine="480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00FC6" w:rsidRDefault="00E00FC6" w:rsidP="00E00FC6">
      <w:pPr>
        <w:pStyle w:val="Default"/>
        <w:ind w:firstLine="480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Рисунок 2</w:t>
      </w:r>
    </w:p>
    <w:p w:rsidR="00195C8F" w:rsidRDefault="00393F2D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5.6pt;margin-top:9.85pt;width:363.8pt;height:325.85pt;z-index:251660288;mso-position-horizontal-relative:text;mso-position-vertical-relative:text;mso-width-relative:page;mso-height-relative:page">
            <v:imagedata r:id="rId6" o:title="image4"/>
          </v:shape>
        </w:pict>
      </w: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4FF7" w:rsidRDefault="00B94FF7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4FF7" w:rsidRDefault="00B94FF7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4FF7" w:rsidRDefault="00B94FF7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4FF7" w:rsidRDefault="00B94FF7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B94FF7">
      <w:pPr>
        <w:pStyle w:val="Default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Результаты освоения групп читательских умений КДР 6 </w:t>
      </w:r>
    </w:p>
    <w:p w:rsidR="00195C8F" w:rsidRPr="00B94FF7" w:rsidRDefault="00195C8F" w:rsidP="00B94FF7">
      <w:pPr>
        <w:pStyle w:val="Default"/>
        <w:jc w:val="both"/>
        <w:rPr>
          <w:rStyle w:val="285pt"/>
          <w:rFonts w:ascii="Times New Roman" w:hAnsi="Times New Roman" w:cs="Times New Roman"/>
          <w:color w:val="auto"/>
          <w:sz w:val="24"/>
          <w:szCs w:val="24"/>
        </w:rPr>
      </w:pPr>
      <w:r w:rsidRPr="00B94FF7">
        <w:rPr>
          <w:rStyle w:val="285pt"/>
          <w:rFonts w:ascii="Times New Roman" w:hAnsi="Times New Roman" w:cs="Times New Roman"/>
          <w:color w:val="auto"/>
          <w:sz w:val="24"/>
          <w:szCs w:val="24"/>
        </w:rPr>
        <w:t>Математика</w:t>
      </w: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E00FC6" w:rsidRDefault="00BD0B74" w:rsidP="00E00FC6">
      <w:pPr>
        <w:pStyle w:val="Default"/>
        <w:ind w:firstLine="480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Arial Unicode MS" w:eastAsia="Arial Unicode MS" w:hAnsi="Arial Unicode MS" w:cs="Arial Unicode MS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1495425</wp:posOffset>
            </wp:positionH>
            <wp:positionV relativeFrom="paragraph">
              <wp:posOffset>135127</wp:posOffset>
            </wp:positionV>
            <wp:extent cx="4391025" cy="3934457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606" cy="3935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0FC6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Рисунок 3</w:t>
      </w: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351336">
      <w:pPr>
        <w:pStyle w:val="Default"/>
        <w:ind w:firstLine="48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Pr="00195C8F" w:rsidRDefault="00195C8F" w:rsidP="00195C8F">
      <w:pPr>
        <w:framePr w:wrap="none" w:vAnchor="page" w:hAnchor="page" w:x="2626" w:y="5131"/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195C8F" w:rsidRDefault="00195C8F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95C8F" w:rsidRDefault="00195C8F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26EDF" w:rsidRDefault="00026EDF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EE7247">
      <w:pPr>
        <w:pStyle w:val="Default"/>
        <w:ind w:firstLine="708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BD0B74" w:rsidP="00BD0B74">
      <w:pPr>
        <w:pStyle w:val="Default"/>
        <w:ind w:firstLine="708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Рисунок 4</w:t>
      </w:r>
    </w:p>
    <w:p w:rsidR="00BD0B74" w:rsidRDefault="00BD0B74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D0B74" w:rsidRDefault="008C0411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noProof/>
          <w:color w:val="auto"/>
          <w:sz w:val="24"/>
          <w:szCs w:val="24"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1551305</wp:posOffset>
            </wp:positionH>
            <wp:positionV relativeFrom="paragraph">
              <wp:posOffset>8255</wp:posOffset>
            </wp:positionV>
            <wp:extent cx="4719651" cy="4229100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651" cy="422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B93BD8" w:rsidRDefault="008C0411" w:rsidP="008C0411">
      <w:pPr>
        <w:pStyle w:val="Default"/>
        <w:jc w:val="righ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Рисунок 5</w:t>
      </w: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8C0411" w:rsidRDefault="008C0411" w:rsidP="008C0411">
      <w:pPr>
        <w:framePr w:wrap="none" w:vAnchor="page" w:hAnchor="page" w:x="2821" w:y="2176"/>
        <w:rPr>
          <w:sz w:val="2"/>
          <w:szCs w:val="2"/>
        </w:rPr>
      </w:pPr>
      <w:r>
        <w:fldChar w:fldCharType="begin"/>
      </w:r>
      <w:r>
        <w:instrText xml:space="preserve"> INCLUDEPICTURE  "C:\\Users\\Irina\\Desktop\\media\\image7.jpeg" \* MERGEFORMATINET </w:instrText>
      </w:r>
      <w:r>
        <w:fldChar w:fldCharType="separate"/>
      </w:r>
      <w:r>
        <w:fldChar w:fldCharType="begin"/>
      </w:r>
      <w:r>
        <w:instrText xml:space="preserve"> INCLUDEPICTURE  "C:\\Users\\Irina\\Desktop\\media\\image7.jpeg" \* MERGEFORMATINET </w:instrText>
      </w:r>
      <w:r>
        <w:fldChar w:fldCharType="separate"/>
      </w:r>
      <w:r w:rsidR="005B201A">
        <w:fldChar w:fldCharType="begin"/>
      </w:r>
      <w:r w:rsidR="005B201A">
        <w:instrText xml:space="preserve"> INCLUDEPICTURE  "C:\\Users\\Irina\\Desktop\\media\\image7.jpeg" \* MERGEFORMATINET </w:instrText>
      </w:r>
      <w:r w:rsidR="005B201A">
        <w:fldChar w:fldCharType="separate"/>
      </w:r>
      <w:r w:rsidR="00A74003">
        <w:fldChar w:fldCharType="begin"/>
      </w:r>
      <w:r w:rsidR="00A74003">
        <w:instrText xml:space="preserve"> INCLUDEPICTURE  "C:\\Users\\Irina\\Desktop\\media\\image7.jpeg" \* MERGEFORMATINET </w:instrText>
      </w:r>
      <w:r w:rsidR="00A74003">
        <w:fldChar w:fldCharType="separate"/>
      </w:r>
      <w:r w:rsidR="00393F2D">
        <w:fldChar w:fldCharType="begin"/>
      </w:r>
      <w:r w:rsidR="00393F2D">
        <w:instrText xml:space="preserve"> </w:instrText>
      </w:r>
      <w:r w:rsidR="00393F2D">
        <w:instrText>INCLUDEPICTURE  "C:\\Users\\Irina\\Desktop\\media\\image7.jpeg" \* MERGEFORMATINET</w:instrText>
      </w:r>
      <w:r w:rsidR="00393F2D">
        <w:instrText xml:space="preserve"> </w:instrText>
      </w:r>
      <w:r w:rsidR="00393F2D">
        <w:fldChar w:fldCharType="separate"/>
      </w:r>
      <w:r w:rsidR="00C60B2B">
        <w:pict>
          <v:shape id="_x0000_i1025" type="#_x0000_t75" style="width:358.5pt;height:321pt">
            <v:imagedata r:id="rId9" r:href="rId10"/>
          </v:shape>
        </w:pict>
      </w:r>
      <w:r w:rsidR="00393F2D">
        <w:fldChar w:fldCharType="end"/>
      </w:r>
      <w:r w:rsidR="00A74003">
        <w:fldChar w:fldCharType="end"/>
      </w:r>
      <w:r w:rsidR="005B201A">
        <w:fldChar w:fldCharType="end"/>
      </w:r>
      <w:r>
        <w:fldChar w:fldCharType="end"/>
      </w:r>
      <w:r>
        <w:fldChar w:fldCharType="end"/>
      </w:r>
    </w:p>
    <w:p w:rsidR="00B93BD8" w:rsidRDefault="00B93BD8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Default="00427FFB" w:rsidP="00BD0B74">
      <w:pPr>
        <w:pStyle w:val="Default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427FFB" w:rsidRPr="005B201A" w:rsidRDefault="00427FFB" w:rsidP="00427FFB">
      <w:pPr>
        <w:widowControl w:val="0"/>
        <w:spacing w:after="180" w:line="254" w:lineRule="exact"/>
        <w:ind w:firstLine="740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5B201A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В целом лучше всего освоена первая группа читательских умений (поиск инфо</w:t>
      </w:r>
      <w:r w:rsidR="009C0909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рмации, общее понимание текста).</w:t>
      </w:r>
      <w:r w:rsidRPr="005B201A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9C0909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Значимо ниже результаты освоения второй группы умений (глубокое и детальное понимание содержания и формы текста). Самые низкие результаты зафиксированы по умениям третьей группы (перенос знаний, полученных из текста, на другие ситуации</w:t>
      </w:r>
      <w:r w:rsidR="00B84A4D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, связывание их с внетекстовым опытом</w:t>
      </w:r>
      <w:r w:rsidR="001762EF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, формирование собственной позиции</w:t>
      </w:r>
      <w:r w:rsidR="00670AE5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, </w:t>
      </w:r>
      <w:r w:rsidR="00BE08D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размышления о содержании и форме текста, оценку надежности и достоверности информации)</w:t>
      </w:r>
      <w:r w:rsidR="00B84A4D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r w:rsidR="001762EF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 xml:space="preserve"> Опыта выполнения подобных заданий обучающимся основной школы недостает.</w:t>
      </w:r>
    </w:p>
    <w:p w:rsidR="009C0909" w:rsidRPr="00C60B2B" w:rsidRDefault="009C0909" w:rsidP="009C0909">
      <w:pPr>
        <w:widowControl w:val="0"/>
        <w:spacing w:after="0" w:line="254" w:lineRule="exact"/>
        <w:ind w:firstLine="740"/>
        <w:jc w:val="both"/>
        <w:rPr>
          <w:rFonts w:ascii="Times New Roman" w:eastAsia="Arial Narrow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</w:pPr>
      <w:r w:rsidRPr="00C60B2B">
        <w:rPr>
          <w:rFonts w:ascii="Times New Roman" w:eastAsia="Arial Narrow" w:hAnsi="Times New Roman" w:cs="Times New Roman"/>
          <w:b/>
          <w:bCs/>
          <w:sz w:val="24"/>
          <w:szCs w:val="24"/>
          <w:shd w:val="clear" w:color="auto" w:fill="FFFFFF"/>
          <w:lang w:eastAsia="ru-RU" w:bidi="ru-RU"/>
        </w:rPr>
        <w:t>Управленческие решения</w:t>
      </w:r>
    </w:p>
    <w:p w:rsidR="000526CE" w:rsidRDefault="009C0909" w:rsidP="00C60B2B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C60B2B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При посещении занятий </w:t>
      </w:r>
      <w:r w:rsidR="00393F2D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 xml:space="preserve">заместителям руководителей </w:t>
      </w:r>
      <w:r w:rsidRPr="00C60B2B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контролировать организацию проведения урока: применение приемов по формированию ЧГ («Тонкий и Толстый вопрос», «концептуальная таблица», «реставрация текста» (текст с дырками)), использование парной и групповой работ, особое внимание обращая на дифференцированный подход и работу с группами риска и резерва.</w:t>
      </w:r>
      <w:bookmarkStart w:id="0" w:name="_GoBack"/>
      <w:bookmarkEnd w:id="0"/>
    </w:p>
    <w:p w:rsidR="00E61597" w:rsidRPr="00E61597" w:rsidRDefault="00E61597" w:rsidP="00E61597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E61597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Руковод</w:t>
      </w:r>
      <w:r w:rsidRPr="00E61597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ителям методических объединений п</w:t>
      </w:r>
      <w:r w:rsidRPr="00E61597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роанализировать результаты выполненных работ и выявить факторы, определившие результативность, составить планы по устранению причин низких результатов. Провести разбор заданий, которые вызвали наибольшие затруднения у обучающихся.</w:t>
      </w:r>
    </w:p>
    <w:p w:rsidR="00393F2D" w:rsidRDefault="009C0909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0526CE"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  <w:t>Продолжить методическую работу по формированию ЧГ на учебных занятиях (методические часы, семинары, открытые занятия, педагогический совет).</w:t>
      </w:r>
    </w:p>
    <w:p w:rsidR="00393F2D" w:rsidRPr="00393F2D" w:rsidRDefault="00393F2D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Учителям–</w:t>
      </w:r>
      <w:r w:rsidR="009C0909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предметникам систематически организовывать работу на уроках по формированию умения</w:t>
      </w:r>
      <w:r w:rsidR="004649EF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C0909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глубокого и детального понимания содержания и формы текста, а также по осмыслению и оценке содержания и формы текста. </w:t>
      </w:r>
    </w:p>
    <w:p w:rsidR="00393F2D" w:rsidRPr="00393F2D" w:rsidRDefault="009C0909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Использовать групповые и парные формы работы на учебных занятиях</w:t>
      </w:r>
      <w:r w:rsidR="0038675A"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</w:p>
    <w:p w:rsidR="009C0909" w:rsidRPr="00393F2D" w:rsidRDefault="009C0909" w:rsidP="00393F2D">
      <w:pPr>
        <w:pStyle w:val="a6"/>
        <w:widowControl w:val="0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eastAsia="Arial Narrow" w:hAnsi="Times New Roman" w:cs="Times New Roman"/>
          <w:bCs/>
          <w:sz w:val="24"/>
          <w:szCs w:val="24"/>
          <w:shd w:val="clear" w:color="auto" w:fill="FFFFFF"/>
          <w:lang w:eastAsia="ru-RU" w:bidi="ru-RU"/>
        </w:rPr>
      </w:pPr>
      <w:r w:rsidRPr="00393F2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Использовать при подготовке к уроку:</w:t>
      </w:r>
    </w:p>
    <w:p w:rsidR="009C0909" w:rsidRPr="009C0909" w:rsidRDefault="0038675A" w:rsidP="00C60B2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Банк заданий по оценке функциональной грамотности, разработанный Институтом стратегии развития образования РАО: http://skiv.instrao.ru/bank-zadaniy/ </w:t>
      </w:r>
      <w:hyperlink r:id="rId11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https://fg.resh.edu.ru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9C0909" w:rsidRPr="009C0909" w:rsidRDefault="0038675A" w:rsidP="00C6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-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Открытые Задания PISA на сайте ФИОКО: </w:t>
      </w:r>
      <w:hyperlink r:id="rId12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https://fioco.ru/примеры-задач-pisa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9C0909" w:rsidRPr="009C0909" w:rsidRDefault="0038675A" w:rsidP="00C60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-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Открытый банк заданий по естественнонаучной грамотности ФИПИ: </w:t>
      </w:r>
      <w:hyperlink r:id="rId13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https://fipi.ru/otkrytyy-bank-zadaniy-dlya-otsenki-yestestvennonauchnoy-gramotnosti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9C0909" w:rsidRPr="009C0909" w:rsidRDefault="0038675A" w:rsidP="00C60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-</w:t>
      </w:r>
      <w:r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«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Формирование и оценка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ФГ учащихся». Учебно-методическое пособие. </w:t>
      </w:r>
      <w:hyperlink r:id="rId14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https://cloud.mail.ru/public/dAD9/Q6Hv3MZYU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8675A" w:rsidRDefault="009C0909" w:rsidP="00C60B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    -    Компетенции «4К»: формирование и оценка на уроке. Практические рекомендации. </w:t>
      </w:r>
      <w:hyperlink r:id="rId15" w:history="1">
        <w:r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https://cloud.mail.ru/public/22jE/WDCooUhT2</w:t>
        </w:r>
      </w:hyperlink>
      <w:r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9C0909" w:rsidRPr="009C0909" w:rsidRDefault="0038675A" w:rsidP="00C60B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- </w:t>
      </w:r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Уроки формирования ФГ (работаем по ФГОС общего образования). </w:t>
      </w:r>
      <w:hyperlink r:id="rId16" w:history="1">
        <w:r w:rsidR="009C0909" w:rsidRPr="0038675A">
          <w:rPr>
            <w:rFonts w:ascii="Times New Roman" w:eastAsia="Times New Roman" w:hAnsi="Times New Roman" w:cs="Times New Roman"/>
            <w:color w:val="111115"/>
            <w:sz w:val="24"/>
            <w:szCs w:val="24"/>
            <w:bdr w:val="none" w:sz="0" w:space="0" w:color="auto" w:frame="1"/>
            <w:lang w:eastAsia="ru-RU"/>
          </w:rPr>
          <w:t>https://cloud.mail.ru/public/FFRH/JcySyhQ7b</w:t>
        </w:r>
      </w:hyperlink>
      <w:r w:rsidR="009C0909" w:rsidRPr="009C0909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27FFB" w:rsidRPr="0038675A" w:rsidRDefault="00427FFB" w:rsidP="00C60B2B">
      <w:pPr>
        <w:widowControl w:val="0"/>
        <w:spacing w:after="0" w:line="240" w:lineRule="auto"/>
        <w:ind w:firstLine="740"/>
        <w:jc w:val="both"/>
        <w:rPr>
          <w:rFonts w:eastAsia="Times New Roman"/>
          <w:bCs/>
          <w:color w:val="111115"/>
          <w:bdr w:val="none" w:sz="0" w:space="0" w:color="auto" w:frame="1"/>
        </w:rPr>
      </w:pPr>
    </w:p>
    <w:sectPr w:rsidR="00427FFB" w:rsidRPr="0038675A" w:rsidSect="00BD0B74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050D"/>
    <w:multiLevelType w:val="hybridMultilevel"/>
    <w:tmpl w:val="D568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C7093"/>
    <w:multiLevelType w:val="hybridMultilevel"/>
    <w:tmpl w:val="66EE5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D101B"/>
    <w:multiLevelType w:val="multilevel"/>
    <w:tmpl w:val="09267BA2"/>
    <w:lvl w:ilvl="0">
      <w:start w:val="1"/>
      <w:numFmt w:val="decimal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3"/>
    <w:rsid w:val="00001517"/>
    <w:rsid w:val="000027AD"/>
    <w:rsid w:val="00007AB3"/>
    <w:rsid w:val="00026EDF"/>
    <w:rsid w:val="00043A9E"/>
    <w:rsid w:val="000526CE"/>
    <w:rsid w:val="00107E60"/>
    <w:rsid w:val="00173713"/>
    <w:rsid w:val="001762EF"/>
    <w:rsid w:val="00195C8F"/>
    <w:rsid w:val="001C2F83"/>
    <w:rsid w:val="001D2844"/>
    <w:rsid w:val="001D7C8A"/>
    <w:rsid w:val="00220FE5"/>
    <w:rsid w:val="00237985"/>
    <w:rsid w:val="0031122F"/>
    <w:rsid w:val="00351336"/>
    <w:rsid w:val="0038675A"/>
    <w:rsid w:val="00393F2D"/>
    <w:rsid w:val="00427FFB"/>
    <w:rsid w:val="004304A3"/>
    <w:rsid w:val="00460C37"/>
    <w:rsid w:val="004649EF"/>
    <w:rsid w:val="005B201A"/>
    <w:rsid w:val="005E5D3F"/>
    <w:rsid w:val="00603F03"/>
    <w:rsid w:val="00670AE5"/>
    <w:rsid w:val="00680B03"/>
    <w:rsid w:val="0070452A"/>
    <w:rsid w:val="0070589C"/>
    <w:rsid w:val="00792B23"/>
    <w:rsid w:val="007A1CFB"/>
    <w:rsid w:val="007B4BAB"/>
    <w:rsid w:val="008C0411"/>
    <w:rsid w:val="009754FC"/>
    <w:rsid w:val="009C0909"/>
    <w:rsid w:val="009D5B18"/>
    <w:rsid w:val="00A36710"/>
    <w:rsid w:val="00A55A4B"/>
    <w:rsid w:val="00A74003"/>
    <w:rsid w:val="00B65DAE"/>
    <w:rsid w:val="00B84A4D"/>
    <w:rsid w:val="00B93BD8"/>
    <w:rsid w:val="00B94FF7"/>
    <w:rsid w:val="00BD0B74"/>
    <w:rsid w:val="00BE08DE"/>
    <w:rsid w:val="00C16C35"/>
    <w:rsid w:val="00C60B2B"/>
    <w:rsid w:val="00C83DF1"/>
    <w:rsid w:val="00D73309"/>
    <w:rsid w:val="00DB2CCE"/>
    <w:rsid w:val="00DD32B3"/>
    <w:rsid w:val="00E00FC6"/>
    <w:rsid w:val="00E14694"/>
    <w:rsid w:val="00E574CE"/>
    <w:rsid w:val="00E61597"/>
    <w:rsid w:val="00EE7247"/>
    <w:rsid w:val="00F30599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00B3C84-FEF3-4932-9530-BC4B67865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rsid w:val="00E574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Колонтитул (2)"/>
    <w:basedOn w:val="2"/>
    <w:rsid w:val="00E574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73309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3309"/>
    <w:pPr>
      <w:widowControl w:val="0"/>
      <w:shd w:val="clear" w:color="auto" w:fill="FFFFFF"/>
      <w:spacing w:before="60" w:after="0" w:line="259" w:lineRule="exact"/>
    </w:pPr>
    <w:rPr>
      <w:rFonts w:ascii="Arial Narrow" w:eastAsia="Arial Narrow" w:hAnsi="Arial Narrow" w:cs="Arial Narrow"/>
      <w:sz w:val="20"/>
      <w:szCs w:val="20"/>
    </w:rPr>
  </w:style>
  <w:style w:type="table" w:styleId="a3">
    <w:name w:val="Table Grid"/>
    <w:basedOn w:val="a1"/>
    <w:uiPriority w:val="39"/>
    <w:rsid w:val="0097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5pt">
    <w:name w:val="Основной текст (2) + 8;5 pt;Полужирный"/>
    <w:basedOn w:val="21"/>
    <w:rsid w:val="009754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4304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43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A9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526C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58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fioco.ru/&#1087;&#1088;&#1080;&#1084;&#1077;&#1088;&#1099;-&#1079;&#1072;&#1076;&#1072;&#1095;-pis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loud.mail.ru/public/FFRH/JcySyhQ7b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fg.resh.edu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cloud.mail.ru/public/22jE/WDCooUhT2" TargetMode="External"/><Relationship Id="rId10" Type="http://schemas.openxmlformats.org/officeDocument/2006/relationships/image" Target="media/image7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cloud.mail.ru/public/dAD9/Q6Hv3MZY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61</cp:revision>
  <cp:lastPrinted>2022-01-10T03:35:00Z</cp:lastPrinted>
  <dcterms:created xsi:type="dcterms:W3CDTF">2022-01-10T01:35:00Z</dcterms:created>
  <dcterms:modified xsi:type="dcterms:W3CDTF">2022-01-12T08:24:00Z</dcterms:modified>
</cp:coreProperties>
</file>