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B27" w:rsidRPr="00254B27" w:rsidRDefault="00B83572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33333"/>
          <w:sz w:val="23"/>
          <w:lang w:eastAsia="ru-RU"/>
        </w:rPr>
        <w:t xml:space="preserve">В </w:t>
      </w:r>
      <w:r w:rsidR="00254B27" w:rsidRPr="00254B27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="00254B27"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№ 466 (Собрание законодательства Российской Федерации, 2013, № 23, ст. 2923; № 33, ст. 4386; № 37, ст. 4702; 2014, № 2, ст. 126; № </w:t>
      </w:r>
      <w:proofErr w:type="gramStart"/>
      <w:r w:rsidR="00254B27"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6, ст. 582), пунктом 17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№ 661 (Собрание законодательства Российской Федерации, 2013, № 33, ст. 4377), приказываю:</w:t>
      </w:r>
      <w:proofErr w:type="gramEnd"/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прилагаемый</w:t>
      </w:r>
      <w:r w:rsidRPr="00254B27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hyperlink r:id="rId4" w:anchor="1000" w:history="1">
        <w:r w:rsidRPr="00254B27">
          <w:rPr>
            <w:rFonts w:ascii="Arial" w:eastAsia="Times New Roman" w:hAnsi="Arial" w:cs="Arial"/>
            <w:color w:val="2060A4"/>
            <w:sz w:val="23"/>
            <w:u w:val="single"/>
            <w:lang w:eastAsia="ru-RU"/>
          </w:rPr>
          <w:t>федеральный государственный образовательный стандарт</w:t>
        </w:r>
      </w:hyperlink>
      <w:r w:rsidRPr="00254B27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среднего профессионального образования по специальности 35.02.15 Кинология.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Признать утратившим силу приказ Министерства образования и науки Российской Федерации от 8 октября 2009 г. № 383 «Об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111701 Кинология» (зарегистрирован Министерством юстиции Российской Федерации 8 декабря 2009 г., регистрационный № 15405).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Настоящий приказ вступает в силу с 1 сентября 2014 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7"/>
        <w:gridCol w:w="1407"/>
      </w:tblGrid>
      <w:tr w:rsidR="00254B27" w:rsidRPr="00254B27" w:rsidTr="00254B27">
        <w:tc>
          <w:tcPr>
            <w:tcW w:w="2500" w:type="pct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 Ливанов</w:t>
            </w:r>
          </w:p>
        </w:tc>
      </w:tr>
    </w:tbl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Зарегистрировано в Минюсте РФ 26 июня 2014 г.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Регистрационный № 32863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</w:p>
    <w:p w:rsidR="00254B27" w:rsidRPr="00254B27" w:rsidRDefault="00254B27" w:rsidP="00B83572">
      <w:pPr>
        <w:shd w:val="clear" w:color="auto" w:fill="FFFFFF"/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54B27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Федеральный государственный образовательный стандарт</w:t>
      </w:r>
      <w:r w:rsidRPr="00254B27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среднего профессионального образования по специальности 35.02.15 Кинология</w:t>
      </w:r>
      <w:r w:rsidRPr="00254B27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(утв.</w:t>
      </w:r>
      <w:r w:rsidRPr="00254B27">
        <w:rPr>
          <w:rFonts w:ascii="Arial" w:eastAsia="Times New Roman" w:hAnsi="Arial" w:cs="Arial"/>
          <w:b/>
          <w:bCs/>
          <w:color w:val="333333"/>
          <w:sz w:val="26"/>
          <w:lang w:eastAsia="ru-RU"/>
        </w:rPr>
        <w:t> </w:t>
      </w:r>
      <w:hyperlink r:id="rId5" w:anchor="0" w:history="1">
        <w:r w:rsidRPr="00254B27">
          <w:rPr>
            <w:rFonts w:ascii="Arial" w:eastAsia="Times New Roman" w:hAnsi="Arial" w:cs="Arial"/>
            <w:b/>
            <w:bCs/>
            <w:color w:val="2060A4"/>
            <w:sz w:val="26"/>
            <w:u w:val="single"/>
            <w:lang w:eastAsia="ru-RU"/>
          </w:rPr>
          <w:t>приказом</w:t>
        </w:r>
      </w:hyperlink>
      <w:r w:rsidRPr="00254B27">
        <w:rPr>
          <w:rFonts w:ascii="Arial" w:eastAsia="Times New Roman" w:hAnsi="Arial" w:cs="Arial"/>
          <w:b/>
          <w:bCs/>
          <w:color w:val="333333"/>
          <w:sz w:val="26"/>
          <w:lang w:eastAsia="ru-RU"/>
        </w:rPr>
        <w:t> </w:t>
      </w:r>
      <w:r w:rsidRPr="00254B27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Министерства образования и науки РФ от 7 мая 2014 г. № 464)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См. справку о федеральных государственных образовательных стандартах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54B27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Область применения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1.1. </w:t>
      </w: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35.02.15 Кинология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  <w:proofErr w:type="gramEnd"/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 Право на реализацию программы подготовки специалистов среднего звена по специальности 35.02.15 Кинология имеет образовательная организация при наличии соответствующей лицензии на осуществление образовательной деятельности.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Возможна сетевая форма </w:t>
      </w: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реализации программы подготовки специалистов среднего звена</w:t>
      </w:r>
      <w:proofErr w:type="gram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 - передачи информации в доступных для них формах.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54B27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Используемые сокращения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настоящем стандарте используются следующие сокращения: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СПО - среднее профессиональное образование;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ФГОС СПО - федеральный государственный образовательный стандарт среднего профессионального образования;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ППССЗ - программа подготовки специалистов среднего звена;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 - общая компетенция;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ПК - профессиональная компетенция;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ПМ - профессиональный модуль;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МДК - междисциплинарный курс.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54B27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III. Характеристика подготовки по специальности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 Получение СПО по ППССЗ допускается только в образовательной организации.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3.2. Сроки получения СПО по специальности 35.02.15 Кинология базовой подготовки в очной форме обучения и присваиваемая квалификация приводятся в</w:t>
      </w:r>
      <w:r w:rsidRPr="00254B27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hyperlink r:id="rId6" w:anchor="13001" w:history="1">
        <w:r w:rsidRPr="00254B27">
          <w:rPr>
            <w:rFonts w:ascii="Arial" w:eastAsia="Times New Roman" w:hAnsi="Arial" w:cs="Arial"/>
            <w:color w:val="2060A4"/>
            <w:sz w:val="23"/>
            <w:u w:val="single"/>
            <w:lang w:eastAsia="ru-RU"/>
          </w:rPr>
          <w:t>Таблице 1</w:t>
        </w:r>
      </w:hyperlink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0"/>
        <w:gridCol w:w="2752"/>
        <w:gridCol w:w="3353"/>
      </w:tblGrid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квалификации базовой подготовки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получения СПО по ППССЗ базовой подготовки в очной форме обучения</w:t>
            </w:r>
            <w:hyperlink r:id="rId7" w:anchor="111" w:history="1">
              <w:r w:rsidRPr="00254B27">
                <w:rPr>
                  <w:rFonts w:ascii="Times New Roman" w:eastAsia="Times New Roman" w:hAnsi="Times New Roman" w:cs="Times New Roman"/>
                  <w:b/>
                  <w:bCs/>
                  <w:color w:val="2060A4"/>
                  <w:sz w:val="24"/>
                  <w:szCs w:val="24"/>
                  <w:u w:val="single"/>
                  <w:lang w:eastAsia="ru-RU"/>
                </w:rPr>
                <w:t>*</w:t>
              </w:r>
            </w:hyperlink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Кинолог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 6 месяцев</w:t>
            </w:r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254B27" w:rsidRPr="00254B27" w:rsidRDefault="00644B5F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tooltip="Грамотейка. 3-4 года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3 года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 месяцев</w:t>
            </w:r>
            <w:hyperlink r:id="rId9" w:anchor="222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**</w:t>
              </w:r>
            </w:hyperlink>
          </w:p>
        </w:tc>
      </w:tr>
    </w:tbl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______________________________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* Независимо от применяемых образовательных технологий.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Сроки получения СПО по ППССЗ базовой подготовки независимо от применяемых образовательных технологий увеличиваются: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а) для </w:t>
      </w: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</w:t>
      </w:r>
      <w:proofErr w:type="spell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очно-заочной</w:t>
      </w:r>
      <w:proofErr w:type="spell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форме обучения: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базе среднего общего образования - не более чем на 1 год;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базе основного общего образования - не более чем на 1,5 года;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для инвалидов и лиц с ограниченными возможностями здоровья - не более чем на 10 месяцев.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54B27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Характеристика профессиональной деятельности выпускников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4.1. Область профессиональной деятельности выпускников: организация и выполнение работ, а также оказание услуг по разведению, выращиванию, содержанию и уходу за собаками, подготовке и применению собак в различных службах, в том числе в хозяйственной деятельности, спорте и промысловой охоте; в службах охраны, при розыскных и спасательных работах.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4.2. Объектами профессиональной деятельности выпускников являются: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собаки всех пород и типов использования;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технологии содержания, разведения и породообразования собак;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методики и способы подготовки собак по породам и видам служб;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инвентарь и оборудование для разведения, выращивания, содержания и профессиональной подготовки собак;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процессы организации и управления работами в области кинологии;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первичные трудовые коллективы.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4.3. Кинолог готовится к следующим видам деятельности: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4.3.1. Содержание собак и уход за ними.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4.3.2. Разведение и селекция собак.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4.3.3. Подготовка и применение собак по породам и видам служб.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4.3.4. Испытания и соревнования собак.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4.3.5. Управление деятельностью по оказанию услуг в области кинологии.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4.3.6. Выполнение работ по одной или нескольким профессиям рабочих, должностям служащих (</w:t>
      </w:r>
      <w:hyperlink r:id="rId10" w:anchor="10000" w:history="1">
        <w:r w:rsidRPr="00254B27">
          <w:rPr>
            <w:rFonts w:ascii="Arial" w:eastAsia="Times New Roman" w:hAnsi="Arial" w:cs="Arial"/>
            <w:color w:val="2060A4"/>
            <w:sz w:val="23"/>
            <w:u w:val="single"/>
            <w:lang w:eastAsia="ru-RU"/>
          </w:rPr>
          <w:t>приложение</w:t>
        </w:r>
      </w:hyperlink>
      <w:r w:rsidRPr="00254B27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ФГОС СПО).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54B27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 xml:space="preserve">V. Требования к результатам </w:t>
      </w:r>
      <w:proofErr w:type="gramStart"/>
      <w:r w:rsidRPr="00254B27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освоения программы подготовки специалистов среднего звена</w:t>
      </w:r>
      <w:proofErr w:type="gramEnd"/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5.1. Кинолог должен обладать общими компетенциями, включающими в себя способность: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 6. Работать в коллективе и команде, эффективно общаться с коллегами, руководством, потребителями.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 7. Брать на себя ответственность за работу членов команды (подчиненных), за результат выполнения заданий.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 9. Ориентироваться в условиях частой смены технологий в профессиональной деятельности.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5.2. Кинолог должен обладать профессиональными компетенциями, соответствующими видам деятельности: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5.2.1. Содержание собак и уход за ними.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ПК 1.1. Обеспечивать уход за собаками с использованием необходимых средств и инвентаря.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ПК 1.2. Проводить кормление собак с учетом возраста, породы и видов служб.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ПК 1.3. Проводить выгул собак.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ПК 1.4. Под руководством ветеринарных специалистов участвовать в проведении противоэпизоотических мероприятий.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ПК 1.5. Выполнять лечебные назначения по указанию и под руководством ветеринарных специалистов.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5.2.2. Разведение и селекция собак.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ПК 2.1. Планировать опытно-селекционную работу.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ПК 2.2. Отбирать собак по результатам бонитировки для улучшения рабочих и породных качеств.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ПК 2.3. Закреплять желаемые рабочие и породные качества в последующих поколениях, в том числе с применением инбридинга и гетерозиса.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ПК 2.4. Применять технику и различные методы разведения собак.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ПК 2.5. Ухаживать за молодняком.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5.2.3. Подготовка и применение собак по породам и видам служб.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ПК 3.1. Готовить собак по общему курсу дрессировки.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ПК 3.2. Готовить собак по породам и видам служб.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ПК 3.3. Проводить подготовку собак по специальным курсам дрессировки.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ПК 3.4. Проводить прикладную подготовку собак.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ПК 3.5. Проводить тестирование собак по итогам подготовки.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ПК 3.6. Использовать собак в различных видах служб.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5.2.4. Испытания и соревнования собак.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ПК 4.1. Организовывать и проводить испытания собак.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ПК 4.2. Организовывать и проводить соревнования собак.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ПК 4.3. Проводить экспертизу и бонитировку собак.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5.2.5. Управление деятельностью по оказанию услуг в области кинологии.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ПК 5.1. Участвовать в планировании основных показателей деятельности по оказанию услуг в области кинологии.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ПК 5.2. Планировать выполнение работ исполнителями.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ПК 5.3. Организовывать работу трудового коллектива.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ПК 5.4. Контролировать ход и оценивать результаты выполнения работ исполнителями.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ПК 5.5. Изучать рынок и конъюнктуру услуг в области кинологии.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ПК 5.6. Участвовать в выработке мер по оптимизации процессов оказания услуг в области профессиональной деятельности.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ПК 5.7. Вести утвержденную учетно-отчетную документацию.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5.2.6. Выполнение работ по одной или нескольким профессиям рабочих, должностям служащих.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54B27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VI. Требования к структуре программы подготовки специалистов среднего звена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6.1. ППССЗ предусматривает изучение следующих учебных циклов: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общего гуманитарного и социально-экономического;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математического и общего естественнонаучного;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профессионального;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 разделов: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учебная практика;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производственная практика (по профилю специальности);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производственная практика (преддипломная);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промежуточная аттестация;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государственная итоговая аттестация.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Профессиональный учебный цикл состоит из </w:t>
      </w:r>
      <w:proofErr w:type="spell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общепрофессиональных</w:t>
      </w:r>
      <w:proofErr w:type="spell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</w:t>
      </w: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обучающимися</w:t>
      </w:r>
      <w:proofErr w:type="gram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профессиональных модулей проводятся учебная и (или) производственная практика (по профилю специальности).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«Основы философии», «История», «Иностранный язык», «Физическая культура».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Обязательная часть профессионального учебного цикла ППССЗ базовой подготовки должна предусматривать изучение дисциплины «Безопасность жизнедеятельности». Объем часов на дисциплину «Безопасность жизнедеятельности» составляет 68 часов, из них на освоение основ военной службы - 48 часов.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 3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54B27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Структура </w:t>
      </w:r>
      <w:proofErr w:type="gramStart"/>
      <w:r w:rsidRPr="00254B27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программы подготовки специалистов среднего звена базовой подготовки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8"/>
        <w:gridCol w:w="2260"/>
        <w:gridCol w:w="1442"/>
        <w:gridCol w:w="1362"/>
        <w:gridCol w:w="2080"/>
        <w:gridCol w:w="1393"/>
      </w:tblGrid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максимальной учебной нагрузки обучающегося (час</w:t>
            </w:r>
            <w:proofErr w:type="gramStart"/>
            <w:r w:rsidRPr="00254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254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254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proofErr w:type="gramEnd"/>
            <w:r w:rsidRPr="00254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proofErr w:type="spellEnd"/>
            <w:r w:rsidRPr="00254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часов обязательных учебных занятий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формируемых компетенций</w:t>
            </w:r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 учебных циклов ППССЗ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2862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1908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гуманитарный и социально-экономический учебный цикл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обязательной части учебного цикла обучающийся должен: уметь: 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 знать: основные категории и понятия философии; роль философии в жизни человека и общества; основы философского учения о бытии; сущность процесса познания;</w:t>
            </w:r>
            <w:proofErr w:type="gram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</w:t>
            </w: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научной, философской и религиозной картин мира; об условиях формирования личности, свободе и ответственности за сохранение жизни, культуры, окружающей среды; 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ОГСЭ.01. Основы философии</w:t>
            </w:r>
          </w:p>
        </w:tc>
        <w:tc>
          <w:tcPr>
            <w:tcW w:w="0" w:type="auto"/>
            <w:hideMark/>
          </w:tcPr>
          <w:p w:rsidR="00254B27" w:rsidRPr="00254B27" w:rsidRDefault="00644B5F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anchor="15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ориентироваться в современной экономической, политической и культурной ситуации в России и мире; выявлять взаимосвязь отечественных, региональных, мировых социально-экономических, политических и культурных проблем; знать: основные направления развития ключевых регионов мира на рубеже веков (XX и XXI вв.); </w:t>
            </w:r>
            <w:proofErr w:type="gram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сущность и причины локальных, региональных, межгосударственных конфликтов в конце XX - начале XXI вв.; основные процессы (интеграционные, поликультурные, миграционные и иные) политического и экономического развития ведущих </w:t>
            </w: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 и регионов мира; назначение ООН, НАТО, ЕС и других организаций и основные направления их деятельности; о роли науки, культуры и религии в сохранении и укреплении национальных и государственных традиций;</w:t>
            </w:r>
            <w:proofErr w:type="gram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и назначение важнейших нормативных правовых и законодательных актов мирового и регионального значения;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ОГСЭ.02. История</w:t>
            </w:r>
          </w:p>
        </w:tc>
        <w:tc>
          <w:tcPr>
            <w:tcW w:w="0" w:type="auto"/>
            <w:hideMark/>
          </w:tcPr>
          <w:p w:rsidR="00254B27" w:rsidRPr="00254B27" w:rsidRDefault="00644B5F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anchor="15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общаться (устно и письменно) на иностранном языке на профессиональные и повседневные темы; переводить (со словарем) иностранные тексты профессиональной направленности; самостоятельно совершенствовать устную и письменную речь, пополнять словарный запас; знать: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ОГСЭ.03. Иностранный язык</w:t>
            </w:r>
          </w:p>
        </w:tc>
        <w:tc>
          <w:tcPr>
            <w:tcW w:w="0" w:type="auto"/>
            <w:hideMark/>
          </w:tcPr>
          <w:p w:rsidR="00254B27" w:rsidRPr="00254B27" w:rsidRDefault="00644B5F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anchor="15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использовать физкультурно-оздоровительную деятельность для укрепления здоровья, достижения жизненных и профессиональных целей; знать: о роли физической культуры в общекультурном, профессиональном и социальном развитии человека; основы здорового образа жизни.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ОГСЭ.04. Физическая культура</w:t>
            </w:r>
          </w:p>
        </w:tc>
        <w:tc>
          <w:tcPr>
            <w:tcW w:w="0" w:type="auto"/>
            <w:hideMark/>
          </w:tcPr>
          <w:p w:rsidR="00254B27" w:rsidRPr="00254B27" w:rsidRDefault="00644B5F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anchor="1512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ОК 2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5" w:anchor="1513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3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6" w:anchor="1516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6</w:t>
              </w:r>
            </w:hyperlink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EH.00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и общий естественнонаучный учебный цикл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обязательной части учебного цикла обучающийся должен: уметь: анализировать и прогнозировать экологические последствия различных видов деятельности; использовать в профессиональной деятельности представления о взаимосвязи организмов и среды обитания; соблюдать в профессиональной деятельности регламенты экологической безопасности; знать: принципы взаимодействия живых организмов и среды обитания; особенности взаимодействия общества и природы, </w:t>
            </w: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источники техногенного воздействия на окружающую среду;</w:t>
            </w:r>
            <w:proofErr w:type="gram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устойчивого развития экосистем и возможных причинах возникновения экологического кризиса; принципы и методы рационального природопользования; методы экологического регулирования; принципы размещения производств различного типа; основные группы отходов, их источники и масштабы образования; понятие и принципы мониторинга окружающей среды; правовые и социальные вопросы природопользования и экологической безопасности; принципы и правила международного сотрудничества в области природопользования и охраны окружающей среды;</w:t>
            </w:r>
            <w:proofErr w:type="gram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природоресурсный</w:t>
            </w:r>
            <w:proofErr w:type="spell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потенциал Российской Федерации; охраняемые природные территории.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ЕН.01. Экологические основы природопользования</w:t>
            </w:r>
          </w:p>
        </w:tc>
        <w:tc>
          <w:tcPr>
            <w:tcW w:w="0" w:type="auto"/>
            <w:hideMark/>
          </w:tcPr>
          <w:p w:rsidR="00254B27" w:rsidRPr="00254B27" w:rsidRDefault="00644B5F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anchor="15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8" w:anchor="152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ПК 1.1 - 1.5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19" w:anchor="1522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2.1 - 2.5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hyperlink r:id="rId20" w:anchor="1523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3.1 - 3.6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1" w:anchor="1524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4.1 - 4.3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2" w:anchor="1525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5.1 - 5.7</w:t>
              </w:r>
            </w:hyperlink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П.00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учебный цикл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2214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1476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Общепрофессиональные</w:t>
            </w:r>
            <w:proofErr w:type="spell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дисциплины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</w:t>
            </w: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изучения обязательной части профессионального учебного цикла обучающийся по </w:t>
            </w:r>
            <w:proofErr w:type="spell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общепрофессиональным</w:t>
            </w:r>
            <w:proofErr w:type="spell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дисциплинам должен: уметь: определять пол, породу, возраст собак по внешним признакам; определять конституциональный тип и тип высшей нервной деятельности собак; знать: строение и топографическое расположение органов; основные физиологические характеристики собак; роль нервной системы в формировании поведенческих реакций; методы оценки конституции, экстерьера, интерьера собак;</w:t>
            </w:r>
            <w:proofErr w:type="gram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происхождение и эволюцию пород собак;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ОП.01. Биология </w:t>
            </w: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собак</w:t>
            </w:r>
          </w:p>
        </w:tc>
        <w:tc>
          <w:tcPr>
            <w:tcW w:w="0" w:type="auto"/>
            <w:hideMark/>
          </w:tcPr>
          <w:p w:rsidR="00254B27" w:rsidRPr="00254B27" w:rsidRDefault="00644B5F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anchor="15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24" w:anchor="152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 xml:space="preserve">ПК </w:t>
              </w:r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lastRenderedPageBreak/>
                <w:t>1.1 - 1.5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5" w:anchor="1522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2.1 - 2.5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hyperlink r:id="rId26" w:anchor="1523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3.1 - 3.6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7" w:anchor="1524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4.1 - 4.3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28" w:anchor="1525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5.1 - 5.7</w:t>
              </w:r>
            </w:hyperlink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определять топографическое расположение и строение органов и частей тела животных; определять анатомические и возрастные особенности животных; определять и фиксировать физиологические характеристики животных; знать: основные положения и терминологию </w:t>
            </w: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цитологии, гистологии, эмбриологии, морфологии, анатомии и физиологии животных; строение органов и систем органов животных: опорно-двигательной, кровеносной, пищеварительной, дыхательной, покровной, выделительной, половой, эндокринной, нервной, включая центральную нервную систему с анализаторами;</w:t>
            </w:r>
            <w:proofErr w:type="gram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видовые особенности животных; характеристики процессов жизнедеятельности; физиологические функции органов и систем органов животных; понятия метаболизма, гомеостаза, физиологической адаптации животных; регулирующие функции нервной и эндокринной систем; функции иммунной системы; характеристики процессов размножения; характеристики высшей нервной деятельности (поведения);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ОП.02. Анатомия и физиология животных</w:t>
            </w:r>
          </w:p>
        </w:tc>
        <w:tc>
          <w:tcPr>
            <w:tcW w:w="0" w:type="auto"/>
            <w:hideMark/>
          </w:tcPr>
          <w:p w:rsidR="00254B27" w:rsidRPr="00254B27" w:rsidRDefault="00644B5F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anchor="15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30" w:anchor="152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ПК 1.1 - 1.5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1" w:anchor="1522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2.1 - 2.5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hyperlink r:id="rId32" w:anchor="1523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3.1 - 3.6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3" w:anchor="1524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4.1 - 4.3</w:t>
              </w:r>
            </w:hyperlink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выявлять заболевших животных; выполнять несложные </w:t>
            </w: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ветеринарные назначения; готовить растворы дезинфицирующих и моющих средств; дезинфицировать оборудование, инвентарь, помещения, транспорт и др.; знать: нормы зоогигиены; классификацию моющих и дезинфицирующих средств, правила их применения, условия и сроки хранения; правила проведения дезинфекции инвентаря и транспорта, дезинфекции, дезинсекции и дератизации помещений; основные типы пищевых отравлений и инфекций, источники возможного заражения;</w:t>
            </w:r>
            <w:proofErr w:type="gram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типы гельминтозов животных; заболевания, общие для человека и животных; профилактические мероприятия по предупреждению заболеваний животных; приемы оказания первой помощи животным;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ОП.03. Основы ветеринарии и зоогигиены</w:t>
            </w:r>
          </w:p>
        </w:tc>
        <w:tc>
          <w:tcPr>
            <w:tcW w:w="0" w:type="auto"/>
            <w:hideMark/>
          </w:tcPr>
          <w:p w:rsidR="00254B27" w:rsidRPr="00254B27" w:rsidRDefault="00644B5F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anchor="15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35" w:anchor="152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ПК 1.1 - 1.5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6" w:anchor="1522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2.1 - 2.5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hyperlink r:id="rId37" w:anchor="1523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3.1 - 3.6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8" w:anchor="1524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4.1 - 4.3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39" w:anchor="1525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5.1 - 5.7</w:t>
              </w:r>
            </w:hyperlink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выявлять опасные и вредные производственные факторы и соответствующие им риски, связанные с прошлыми, настоящими или </w:t>
            </w: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планируемыми видами профессиональной деятельности; использовать средства коллективной и индивидуальной защиты в соответствий с характером выполняемой профессиональной деятельности; проводить вводный инструктаж подчиненных работников (персонала), инструктировать их по вопросам техники безопасности на рабочем месте с учетом специфики выполняемых работ;</w:t>
            </w:r>
            <w:proofErr w:type="gram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разъяснять подчиненным работникам (персоналу) содержание установленных требований охраны труда; контролировать навыки, необходимые для достижения требуемого уровня безопасности труда; вести документацию установленного образца по охране труда, соблюдать сроки ее заполнения и условия хранения; знать: системы управления охраной труда в организации; законы и иные нормативные правовые акты, содержащие </w:t>
            </w: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государственные нормативные требования охраны труда, распространяющиеся на деятельность организации;</w:t>
            </w:r>
            <w:proofErr w:type="gram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обязанности работников в области охраны труда; фактические или потенциальные последствия собственной деятельности (или бездействия) и их влияние на уровень безопасности труда; возможные последствия несоблюдения технологических процессов и производственных инструкций подчиненными работниками (персоналом); порядок и периодичность инструктирования подчиненных работников (персонала); порядок хранения и использования средств коллективной и индивидуальной защиты; порядок проведения аттестации рабочих мест по условиям труда, в том числе методику оценки условий труда и </w:t>
            </w:r>
            <w:proofErr w:type="spell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травмобезопасности</w:t>
            </w:r>
            <w:proofErr w:type="spell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ОП.04. Охрана труда</w:t>
            </w:r>
          </w:p>
        </w:tc>
        <w:tc>
          <w:tcPr>
            <w:tcW w:w="0" w:type="auto"/>
            <w:hideMark/>
          </w:tcPr>
          <w:p w:rsidR="00254B27" w:rsidRPr="00254B27" w:rsidRDefault="00644B5F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anchor="15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41" w:anchor="152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ПК 1.1 - 1.5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2" w:anchor="1522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2.1 - 2.5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hyperlink r:id="rId43" w:anchor="1523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3.1 - 3.6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4" w:anchor="1524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4.1 - 4.3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5" w:anchor="1525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5.1 - 5.7</w:t>
              </w:r>
            </w:hyperlink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использовать технологии сбора, размещения, хранения, накопления, </w:t>
            </w: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преобразования и передачи данных в профессионально ориентированных информационных системах; использовать в профессиональной деятельности различные виды программного обеспечения, в т.ч. специального; применять компьютерные и телекоммуникационные средства в профессиональной деятельности; знать: основные понятия автоматизированной обработки информации; общий состав и структуру персональных компьютеров и вычислительных систем, автоматизированных рабочих мест;</w:t>
            </w:r>
            <w:proofErr w:type="gram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состав, функции и возможности использования информационных и телекоммуникационных технологий в профессиональной деятельности; методы и средства сбора, обработки, хранения, передачи и накопления информации; базовые системные программные продукты и пакеты прикладных программ в области профессиональной деятельности; основные методы и приемы обеспечения </w:t>
            </w: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информационной безопасности;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ОП.05. Информационные технологии в профессиональной деятельности</w:t>
            </w:r>
          </w:p>
        </w:tc>
        <w:tc>
          <w:tcPr>
            <w:tcW w:w="0" w:type="auto"/>
            <w:hideMark/>
          </w:tcPr>
          <w:p w:rsidR="00254B27" w:rsidRPr="00254B27" w:rsidRDefault="00644B5F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anchor="15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47" w:anchor="152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ПК 1.1 - 1.5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48" w:anchor="1522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2.1 - 2.5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hyperlink r:id="rId49" w:anchor="1523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3.1 - 3.6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0" w:anchor="1524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4.1 - 4.3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1" w:anchor="1525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5.1 - 5.7</w:t>
              </w:r>
            </w:hyperlink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осуществлять профессиональное общение с соблюдением норм и правил делового этикета; пользоваться простыми приемами </w:t>
            </w:r>
            <w:proofErr w:type="spell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в процессе межличностного общения; передавать информацию устно и письменно с соблюдением требований культуры речи; принимать решения и </w:t>
            </w:r>
            <w:proofErr w:type="spell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аргументированно</w:t>
            </w:r>
            <w:proofErr w:type="spell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отстаивать свою точку зрения в корректной форме; поддерживать деловую репутацию; создавать и соблюдать имидж делового человека; </w:t>
            </w:r>
            <w:proofErr w:type="gram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рабочее место; знать: правила делового общения; этические нормы взаимоотношений с коллегами, партнерами, клиентами; основные техники и приемы общения: правила слушания, ведения беседы, убеждения, консультирования; формы обращения, изложения просьб, выражения признательности, способы аргументации в производственных ситуациях; составляющие </w:t>
            </w: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внешнего облика делового человека: костюм, прическа, макияж, аксессуары и др.; правила организации рабочего пространства для индивидуальной работы и профессионального общения;</w:t>
            </w:r>
            <w:proofErr w:type="gramEnd"/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ОП.06. Культура делового общения</w:t>
            </w:r>
          </w:p>
        </w:tc>
        <w:tc>
          <w:tcPr>
            <w:tcW w:w="0" w:type="auto"/>
            <w:hideMark/>
          </w:tcPr>
          <w:p w:rsidR="00254B27" w:rsidRPr="00254B27" w:rsidRDefault="00644B5F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anchor="15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53" w:anchor="152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ПК 1.1 - 1.5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4" w:anchor="1522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2.1 - 2.5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hyperlink r:id="rId55" w:anchor="1523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3.1 - 3.6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6" w:anchor="1524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4.1 - 4.3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7" w:anchor="1525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5.1 - 5.7</w:t>
              </w:r>
            </w:hyperlink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рассчитывать основные технико-экономические показатели деятельности организации; применять в профессиональной деятельности приемы делового и управленческого общения; анализировать ситуацию на рынке товаров и услуг; знать: основные положения экономической теории; принципы рыночной экономики; современное состояние и перспективы развития сельского хозяйства и ветеринарии; роли и организацию хозяйствующих субъектов в рыночной экономике; механизмы ценообразования на продукцию (услуги);</w:t>
            </w:r>
            <w:proofErr w:type="gram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 оплаты труда; стили управления, виды коммуникации; принципы делового общения в </w:t>
            </w: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коллективе; управленческий цикл; особенности менеджмента в области ветеринарии; сущность, цели, основные принципы и функции маркетинга, его связь с менеджментом; формы адаптации производства и сбыта к рыночной ситуации;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ОП.07. Основы экономики, менеджмента и маркетинга</w:t>
            </w:r>
          </w:p>
        </w:tc>
        <w:tc>
          <w:tcPr>
            <w:tcW w:w="0" w:type="auto"/>
            <w:hideMark/>
          </w:tcPr>
          <w:p w:rsidR="00254B27" w:rsidRPr="00254B27" w:rsidRDefault="00644B5F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anchor="15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59" w:anchor="152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ПК 1.1 - 1.5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0" w:anchor="1522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2.1 - 2.5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hyperlink r:id="rId61" w:anchor="1523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3.1 - 3.6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2" w:anchor="1524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4.1 - 4.3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3" w:anchor="1525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5.1 - 5.7</w:t>
              </w:r>
            </w:hyperlink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использовать нормативные правовые документы, регламентирующие профессиональную деятельность; защищать свои права в соответствии с действующим законодательством; определять конкурентные преимущества организации (предприятия); вносить предложения по усовершенствованию товаров и услуг, организации продаж; составлять бизнес-план организации малого бизнеса; знать: основные положения Конституции Российской Федерации; права и свободы человека и гражданина, механизмы их реализации; понятие правового регулирования в сфере профессиональной деятельности; законодательные </w:t>
            </w: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акты и другие нормативные документы, регулирующие правоотношения в процессе профессиональной деятельности; права и обязанности работников в сфере профессиональной деятельности; характеристики организаций (предприятий) различных организационно-правовых форм; порядок и способы организации продаж товаров и оказания услуг; требования к бизнес-планам;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ОП.08. Правовое обеспечение профессиональной и предпринимательской деятельности</w:t>
            </w:r>
          </w:p>
        </w:tc>
        <w:tc>
          <w:tcPr>
            <w:tcW w:w="0" w:type="auto"/>
            <w:hideMark/>
          </w:tcPr>
          <w:p w:rsidR="00254B27" w:rsidRPr="00254B27" w:rsidRDefault="00644B5F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anchor="15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65" w:anchor="152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ПК 1.1 - 1.5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6" w:anchor="1522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2.1 - 2.5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hyperlink r:id="rId67" w:anchor="1523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3.1 - 3.6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8" w:anchor="1524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4.1 - 4.3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69" w:anchor="1525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5.1 - 5.7</w:t>
              </w:r>
            </w:hyperlink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уметь: организовывать и проводить мероприятия по защите работающих и населения от негативных воздействий чрезвычайных ситуаций; предпринимать профилактические меры для снижения уровня опасностей различного вида и их последствий в профессиональной деятельности и быту; использовать средства индивидуальной и коллективной защиты от оружия массового поражения; применять первичные средства пожаротушения; ориентироваться в </w:t>
            </w: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перечне военно-учетных специальностей и самостоятельно определять среди них родственные полученной специальности;</w:t>
            </w:r>
            <w:proofErr w:type="gram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профессиональные знания в ходе исполнения обязанностей военной службы на воинских должностях в соответствии с полученной специальностью; владеть способами бесконфликтного общения и </w:t>
            </w:r>
            <w:proofErr w:type="spell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повседневной деятельности и экстремальных условиях военной службы; оказывать первую помощь пострадавшим; </w:t>
            </w:r>
            <w:proofErr w:type="gram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знать: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основные виды потенциальных опасностей и их последствия в </w:t>
            </w: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профессиональной деятельности и быту, принципы снижения вероятности их реализации; основы военной службы и обороны государства;</w:t>
            </w:r>
            <w:proofErr w:type="gram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 основные мероприятия гражданской обороны; способы защиты населения от оружия массового поражения; меры пожарной безопасности и правила безопасного поведения при пожарах; организацию и порядок призыва граждан на военную службу и поступления на нее в добровольном порядке;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  <w:proofErr w:type="gram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 применения получаемых профессиональных знаний при исполнении обязанностей военной службы; порядок и правила оказания первой помощи </w:t>
            </w: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пострадавшим.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ОП.09. Безопасность жизнедеятельности</w:t>
            </w:r>
          </w:p>
        </w:tc>
        <w:tc>
          <w:tcPr>
            <w:tcW w:w="0" w:type="auto"/>
            <w:hideMark/>
          </w:tcPr>
          <w:p w:rsidR="00254B27" w:rsidRPr="00254B27" w:rsidRDefault="00644B5F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anchor="15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71" w:anchor="152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ПК 1.1 - 1.5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2" w:anchor="1522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2.1 - 2.5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hyperlink r:id="rId73" w:anchor="1523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3.1 - 3.6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4" w:anchor="1524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4.1 - 4.3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75" w:anchor="1525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5.1 - 5.7</w:t>
              </w:r>
            </w:hyperlink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ПМ.00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1566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собак и уход за ними</w:t>
            </w:r>
            <w:proofErr w:type="gram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результате изучения профессионального модуля обучающийся должен: иметь практический опыт: содержания, кормления собак и ухода за ними; уметь: использовать современные технологии кормления, содержания собак и ухода за ними; составлять рационы сбалансированного питания по породам и возрастным группам; проводить стрижку и тримминг декоративных собак; определять по внешним признакам состояние здоровья собаки; </w:t>
            </w:r>
            <w:proofErr w:type="gram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первую помощь собакам в экстренных случаях; осуществлять уход за больными собаками; соблюдать меры личной гигиены; организовывать и проводить профилактические мероприятия по предотвращению болезней, общих для человека и животных; отбирать пробы воды, измерять основные параметры микроклимата в помещении для собак; знать: </w:t>
            </w: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стандартов к качеству основных кормов и кормовых средств для собак;</w:t>
            </w:r>
            <w:proofErr w:type="gram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кормления и принципы составления рационов для различных пород собак и возрастных групп; ветеринарно-санитарные требования к условиям содержания собак; правила ухода за больной собакой; правила оказания первой помощи животным; методы отбора проб воды, измерения основных параметров микроклимата в помещении для собак; основные сведения о болезнях собак, в том числе общих для человека и животного;</w:t>
            </w:r>
            <w:proofErr w:type="gram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методы профилактики заболеваний собак; основные профилактические и противоэпизоотические мероприятия в собаководстве.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МДК.01.01. Методы содержания собак и ухода за ними</w:t>
            </w:r>
          </w:p>
        </w:tc>
        <w:tc>
          <w:tcPr>
            <w:tcW w:w="0" w:type="auto"/>
            <w:hideMark/>
          </w:tcPr>
          <w:p w:rsidR="00254B27" w:rsidRPr="00254B27" w:rsidRDefault="00644B5F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anchor="15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77" w:anchor="152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ПК 1.1 - 1.5</w:t>
              </w:r>
            </w:hyperlink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ПМ.02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 и селекция собак</w:t>
            </w:r>
            <w:proofErr w:type="gram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результате изучения профессионального модуля обучающийся должен: иметь практический опыт: отбора производителей по результатам бонитировки; определения периода, </w:t>
            </w: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благоприятного для вязки; вязки собак; содержания производителей; выращивания щенков; оформления документов о происхождении собак; уметь: анализировать генотип собак по отдельным признакам и их комплексам; подбирать пары производителей с учетом их достоинств и недостатков для улучшения рабочих и породных качеств; определять сук в эструсе (охоте); организовывать кормление производителей и уход за ними; применять специальную технику вязки; разрабатывать документацию по опытно-селекционной работе; оформлять документы о происхождении собак; знать: методы селекции собак; особенности применения инбридинга и гетерозиса; породообразовательный процесс; методы отбора, подбора собак для селекционно-племенной работы; требования к качествам собак-производителей; </w:t>
            </w: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признаки половой охоты собак; технику вязки собак; особенности роста и развития щенков разных пород.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МДК.02.01. Техника и методы разведения собак</w:t>
            </w:r>
          </w:p>
        </w:tc>
        <w:tc>
          <w:tcPr>
            <w:tcW w:w="0" w:type="auto"/>
            <w:hideMark/>
          </w:tcPr>
          <w:p w:rsidR="00254B27" w:rsidRPr="00254B27" w:rsidRDefault="00644B5F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anchor="15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79" w:anchor="1522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ПК 2.1 - 2.5</w:t>
              </w:r>
            </w:hyperlink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ПМ.03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применение собак по породам и видам служб</w:t>
            </w:r>
            <w:proofErr w:type="gram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результате изучения профессионального модуля обучающийся должен: иметь практический опыт: дрессировки собак; применения собак по 2 - 3 видам служб; уметь: организовывать дрессировку собак; применять собак в различных видах деятельности; отбирать собак для использования по различным службам; проводить воспитание собак; подготовку по курсу общего послушания и общему курсу дрессировки; знать: формы, методы и приемы дрессировки собак; специальный инвентарь и оборудование для дрессировки; нормативные документы и правила отбора собак для использования по различным службам; классификацию пород собак для различных служб.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МДК.03.01. Теоретические основы дрессировки собак     МДК.03.02. Методы подготовки и применения собак по породам и видам служб</w:t>
            </w:r>
          </w:p>
        </w:tc>
        <w:tc>
          <w:tcPr>
            <w:tcW w:w="0" w:type="auto"/>
            <w:hideMark/>
          </w:tcPr>
          <w:p w:rsidR="00254B27" w:rsidRPr="00254B27" w:rsidRDefault="00644B5F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anchor="15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81" w:anchor="1523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ПК 3.1 - 3.6</w:t>
              </w:r>
            </w:hyperlink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Испытания и соревнования собак</w:t>
            </w:r>
            <w:proofErr w:type="gram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результате изучения </w:t>
            </w: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профессионального модуля обучающийся должен: иметь практический опыт: экспертизы и бонитировки собак; уметь: организовывать выводку молодняка, испытания и состязания собак; эффективно оценивать собак по результатам испытаний; знать: историю собаководства; особенности служебного, декоративного, охотничьего, спортивного собаководства; основные кинологические организации; классификацию пород собак в системе Международной кинологической федерации нормативные документы Российской кинологической федерации (РКФ); стандарты основных пород собак; нормативы испытаний и соревнований; состав и обязанности членов экспертной комиссии; требования экспертизы к экстерьеру и конституции собак, шерстяному покрову, окрасу, движению </w:t>
            </w: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собак.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МДК.04.01. Теоретические и практические основы </w:t>
            </w: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и проведения испытаний и соревнований собак</w:t>
            </w:r>
          </w:p>
        </w:tc>
        <w:tc>
          <w:tcPr>
            <w:tcW w:w="0" w:type="auto"/>
            <w:hideMark/>
          </w:tcPr>
          <w:p w:rsidR="00254B27" w:rsidRPr="00254B27" w:rsidRDefault="00644B5F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anchor="15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83" w:anchor="1524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ПК 4.1 - 4.3</w:t>
              </w:r>
            </w:hyperlink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ПМ.05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деятельностью по оказанию услуг в области кинологии</w:t>
            </w:r>
            <w:proofErr w:type="gram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результате изучения профессионального модуля обучающийся должен: иметь практический опыт: участия в планировании и анализе основных показателей деятельности кинологической организации; участия в управлении первичным трудовым коллективом; ведения документации установленного образца; уметь: анализировать состояние рынка и конъюнктуру услуг в области кинологии; планировать работу структурного подразделения организации и малого предприятия; </w:t>
            </w:r>
            <w:proofErr w:type="gram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рассчитывать по принятой методике основные показатели деятельности организации; инструктировать и контролировать исполнителей на всех стадиях работ; разрабатывать и осуществлять мероприятия по мотивации и стимулированию персонала; оценивать качество выполняемых работ; </w:t>
            </w: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знать: характеристики рынка и конъюнктуры услуг в области кинологии; организацию кинологических служб различного назначения; структуру организации и руководимого подразделения; характер взаимодействия с другими подразделениями;</w:t>
            </w:r>
            <w:proofErr w:type="gram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функциональные обязанности работников и руководителей; основные перспективы развития малого бизнеса в области кинологии; особенности структуры и функционирования малого предприятия; основные показатели деятельности кинологической организации; методы планирования, контроля и оценки работ исполнителей; виды, формы и методы мотивации персонала, в т. ч. материальное и нематериальное стимулирование работников; методы оценивания качества выполняемых работ; правила первичного документооборота, учета и отчетности.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МДК.05.01. Управление структурным подразделением организации (предприятия) и малым предприятием</w:t>
            </w:r>
          </w:p>
        </w:tc>
        <w:tc>
          <w:tcPr>
            <w:tcW w:w="0" w:type="auto"/>
            <w:hideMark/>
          </w:tcPr>
          <w:p w:rsidR="00254B27" w:rsidRPr="00254B27" w:rsidRDefault="00644B5F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anchor="15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85" w:anchor="1525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ПК 5.1 - 5.7</w:t>
              </w:r>
            </w:hyperlink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ПМ.06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одной или нескольким </w:t>
            </w: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профессиям рабочих, должностям служащих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Вариативная часть учебных циклов ППССЗ (определяется образовательной организацией самостоятельно)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1242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часов </w:t>
            </w:r>
            <w:proofErr w:type="gram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учебным циклам ППССЗ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4104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2736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УП.00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  <w:proofErr w:type="spell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4B27" w:rsidRPr="00254B27" w:rsidRDefault="00644B5F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anchor="15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ОК 1 - 9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87" w:anchor="1521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ПК 1.1 - 1.5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88" w:anchor="1522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2.1 - 2.5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hyperlink r:id="rId89" w:anchor="1523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3.1 - 3.6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90" w:anchor="1524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4.1 - 4.3</w:t>
              </w:r>
            </w:hyperlink>
            <w:r w:rsidR="00254B27"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91" w:anchor="15251" w:history="1">
              <w:r w:rsidR="00254B27" w:rsidRPr="00254B27">
                <w:rPr>
                  <w:rFonts w:ascii="Times New Roman" w:eastAsia="Times New Roman" w:hAnsi="Times New Roman" w:cs="Times New Roman"/>
                  <w:color w:val="2060A4"/>
                  <w:sz w:val="24"/>
                  <w:szCs w:val="24"/>
                  <w:u w:val="single"/>
                  <w:lang w:eastAsia="ru-RU"/>
                </w:rPr>
                <w:t>5.1 - 5.7</w:t>
              </w:r>
            </w:hyperlink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ПП.00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0" w:type="auto"/>
            <w:vMerge/>
            <w:vAlign w:val="center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ПДП.00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ПА.00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ГИА.00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ГИА.01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выпускной квалификационной работы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ГИА.02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выпускной квалификационной работы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</w:tbl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 4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Срок получения СПО по ППССЗ базовой подготовки в очной форме обучения составляет 133 недель, в том числе: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78"/>
        <w:gridCol w:w="868"/>
      </w:tblGrid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254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254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учебным циклам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76 </w:t>
            </w:r>
            <w:proofErr w:type="spellStart"/>
            <w:r w:rsidRPr="00254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</w:t>
            </w:r>
            <w:proofErr w:type="spellEnd"/>
            <w:r w:rsidRPr="00254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  <w:proofErr w:type="spell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0" w:type="auto"/>
            <w:vMerge/>
            <w:vAlign w:val="center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  <w:proofErr w:type="spell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133 </w:t>
            </w:r>
            <w:proofErr w:type="spell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54B27" w:rsidRPr="00254B27" w:rsidRDefault="00254B27" w:rsidP="00254B2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54B27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VII. Требования к условиям </w:t>
      </w:r>
      <w:proofErr w:type="gramStart"/>
      <w:r w:rsidRPr="00254B27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реализации программы подготовки специалистов среднего звена</w:t>
      </w:r>
      <w:proofErr w:type="gramEnd"/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7.1. Образовательная организация самостоятельно разрабатывает и утверждает ППССЗ в соответствии с ФГОС СПО и с учетом </w:t>
      </w: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соответствующей</w:t>
      </w:r>
      <w:proofErr w:type="gram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примерной ППССЗ.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Конкретные виды деятельности, к которым готовится </w:t>
      </w: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обучающийся</w:t>
      </w:r>
      <w:proofErr w:type="gram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формировании ППССЗ образовательная организация: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и (или)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имеет право определять для освоения </w:t>
      </w: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обучающимися</w:t>
      </w:r>
      <w:proofErr w:type="gram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рамках профессионального модуля профессию рабочего, должность служащего (одну или несколько) согласно</w:t>
      </w:r>
      <w:r w:rsidRPr="00254B27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hyperlink r:id="rId92" w:anchor="10000" w:history="1">
        <w:r w:rsidRPr="00254B27">
          <w:rPr>
            <w:rFonts w:ascii="Arial" w:eastAsia="Times New Roman" w:hAnsi="Arial" w:cs="Arial"/>
            <w:color w:val="2060A4"/>
            <w:sz w:val="23"/>
            <w:u w:val="single"/>
            <w:lang w:eastAsia="ru-RU"/>
          </w:rPr>
          <w:t>приложению</w:t>
        </w:r>
      </w:hyperlink>
      <w:r w:rsidRPr="00254B27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ФГОС СПО;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обязана</w:t>
      </w:r>
      <w:proofErr w:type="gram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обязана</w:t>
      </w:r>
      <w:proofErr w:type="gram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обязана</w:t>
      </w:r>
      <w:proofErr w:type="gram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обязана обеспечить </w:t>
      </w: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обучающимся</w:t>
      </w:r>
      <w:proofErr w:type="gram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возможность участвовать в формировании индивидуальной образовательной программы;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обязана сформировать </w:t>
      </w:r>
      <w:proofErr w:type="spell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социокультурную</w:t>
      </w:r>
      <w:proofErr w:type="spell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творческих коллективов общественных организаций, спортивных и творческих клубов;</w:t>
      </w:r>
      <w:proofErr w:type="gramEnd"/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должна предусматривать, в целях реализации </w:t>
      </w:r>
      <w:proofErr w:type="spell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компетентностного</w:t>
      </w:r>
      <w:proofErr w:type="spell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подхода,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7.2. При реализации ППССЗ обучающиеся имеют академические права и обязанности в соответствии с Федеральным законом от 29 декабря 2012 г. № 273-ФЗ «Об образовании в Российской Федерации»</w:t>
      </w:r>
      <w:hyperlink r:id="rId93" w:anchor="1111" w:history="1">
        <w:r w:rsidRPr="00254B27">
          <w:rPr>
            <w:rFonts w:ascii="Arial" w:eastAsia="Times New Roman" w:hAnsi="Arial" w:cs="Arial"/>
            <w:color w:val="2060A4"/>
            <w:sz w:val="23"/>
            <w:u w:val="single"/>
            <w:lang w:eastAsia="ru-RU"/>
          </w:rPr>
          <w:t>*</w:t>
        </w:r>
      </w:hyperlink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7.3. Максимальный объем учебной нагрузки обучающегося составляет 54 </w:t>
      </w: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академических</w:t>
      </w:r>
      <w:proofErr w:type="gram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часа в неделю, включая все виды аудиторной и внеаудиторной учебной нагрузки.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7.5. Максимальный объем аудиторной учебной нагрузки в </w:t>
      </w:r>
      <w:proofErr w:type="spell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очно-заочной</w:t>
      </w:r>
      <w:proofErr w:type="spell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форме обучения составляет 16 академических часов в неделю.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7.6. Общая продолжительность каникул в учебном году должна составлять 8-11 недель, в том числе не менее 2-х недель в зимний период.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7.7.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7.8. Дисциплина «Физическая культура»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7.9. Образовательная организация имеет право для подгрупп девушек использовать часть учебного времени дисциплины «Безопасность жизнедеятельности» (48 часов), отведенного на изучение основ военной службы, на освоение медицинских знаний.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7.10.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</w:t>
      </w: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реализуемая</w:t>
      </w:r>
      <w:proofErr w:type="gram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"/>
        <w:gridCol w:w="8437"/>
        <w:gridCol w:w="743"/>
      </w:tblGrid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39 </w:t>
            </w:r>
            <w:proofErr w:type="spellStart"/>
            <w:r w:rsidRPr="00254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</w:t>
            </w:r>
            <w:proofErr w:type="spellEnd"/>
            <w:r w:rsidRPr="00254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7.11. </w:t>
      </w: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Консультации для обучающихся по очной и </w:t>
      </w:r>
      <w:proofErr w:type="spell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очно-заочной</w:t>
      </w:r>
      <w:proofErr w:type="spell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</w:t>
      </w:r>
      <w:proofErr w:type="gram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Формы проведения консультаций (групповые, индивидуальные, письменные, устные) определяются образовательной организацией.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7.12. В период обучения с юношами проводятся учебные сборы</w:t>
      </w:r>
      <w:hyperlink r:id="rId94" w:anchor="2222" w:history="1">
        <w:r w:rsidRPr="00254B27">
          <w:rPr>
            <w:rFonts w:ascii="Arial" w:eastAsia="Times New Roman" w:hAnsi="Arial" w:cs="Arial"/>
            <w:color w:val="2060A4"/>
            <w:sz w:val="23"/>
            <w:u w:val="single"/>
            <w:lang w:eastAsia="ru-RU"/>
          </w:rPr>
          <w:t>**</w:t>
        </w:r>
      </w:hyperlink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7.13. Практика является обязательным разделом ППССЗ. Она представляет собой вид учебной деятельности, направленной на формирование, закрепление, развитие </w:t>
      </w: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</w:t>
      </w: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так</w:t>
      </w:r>
      <w:proofErr w:type="gram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рассредоточено, чередуясь с теоретическими занятиями в рамках профессиональных модулей.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Цели и задачи, программы и формы отчетности определяются образовательной организацией по каждому виду практики.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7.14.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</w:t>
      </w:r>
      <w:r w:rsidRPr="00254B27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hyperlink r:id="rId95" w:tgtFrame="_blank" w:tooltip="Грамотейка. 3-4 года" w:history="1">
        <w:r w:rsidRPr="00254B27">
          <w:rPr>
            <w:rFonts w:ascii="Arial" w:eastAsia="Times New Roman" w:hAnsi="Arial" w:cs="Arial"/>
            <w:color w:val="2060A4"/>
            <w:sz w:val="23"/>
            <w:u w:val="single"/>
            <w:lang w:eastAsia="ru-RU"/>
          </w:rPr>
          <w:t>3 года.</w:t>
        </w:r>
      </w:hyperlink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7.15.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</w:t>
      </w: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подготовки</w:t>
      </w:r>
      <w:proofErr w:type="gram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обучающиеся должны быть обеспечены доступом к информационно-телекоммуникационной сети «Интернет» (далее - сеть Интернет).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  <w:proofErr w:type="gramEnd"/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Библиотечный фонд помимо учебной литературы должен включать официальные, справочно-библиографические и периодические издания в расчете 1-2 экземпляра на каждые 100 </w:t>
      </w: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Каждому обучающемуся должен быть обеспечен доступ к комплектам библиотечного фонда, состоящим не менее чем из 3 наименований российских журналов.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7.16. </w:t>
      </w: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частью 4 статьи 68 Федерального закона от 29 декабря 2012 г. № 273-ФЗ «Об образовании в Российской Федерации»</w:t>
      </w:r>
      <w:hyperlink r:id="rId96" w:anchor="1111" w:history="1">
        <w:r w:rsidRPr="00254B27">
          <w:rPr>
            <w:rFonts w:ascii="Arial" w:eastAsia="Times New Roman" w:hAnsi="Arial" w:cs="Arial"/>
            <w:color w:val="2060A4"/>
            <w:sz w:val="23"/>
            <w:u w:val="single"/>
            <w:lang w:eastAsia="ru-RU"/>
          </w:rPr>
          <w:t>*</w:t>
        </w:r>
      </w:hyperlink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</w:t>
      </w:r>
      <w:proofErr w:type="gram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образования для данного уровня</w:t>
      </w: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..</w:t>
      </w:r>
      <w:proofErr w:type="gramEnd"/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7.17. </w:t>
      </w: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</w:t>
      </w:r>
      <w:proofErr w:type="gram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Материально-техническая база должна соответствовать действующим санитарным и противопожарным нормам.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54B27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Перечень кабинетов, лабораторий, мастерских и других помещений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Кабинеты: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социально-экономических дисциплин;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иностранного языка;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информационных технологий в профессиональной деятельности;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биологии собак;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кинологии и собаководства;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экологических основ природопользования;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безопасности жизнедеятельности и охраны труда.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Лаборатории: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анатомии и физиологии собак;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ветеринарии и зоогигиены;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метрологии, стандартизации и подтверждения качества;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экспертизы собак.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Мастерская: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стрижки и тримминга собак.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Полигоны: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учебно-дрессировочная площадка;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выставочный ринг;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питомник.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Спортивный комплекс: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спортивный зал;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открытый стадион широкого профиля с элементами полосы препятствий;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стрелковый тир (в любой модификации, включая электронный) или место для стрельбы.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Залы: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библиотека, читальный зал с выходом в сеть Интернет;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актовый зал.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Реализация ППССЗ должна обеспечивать: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выполнение </w:t>
      </w: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обучающимися</w:t>
      </w:r>
      <w:proofErr w:type="gram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освоение обучающимися профессиональных модулей в условиях созданной соответствующей образовательной среды в образовательной организации в зависимости от специфики вида деятельности.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7.18. Реализация ППССЗ осуществляется образовательной организацией на государственном языке Российской Федерации.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54B27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lastRenderedPageBreak/>
        <w:t xml:space="preserve">VIII. Оценка </w:t>
      </w:r>
      <w:proofErr w:type="gramStart"/>
      <w:r w:rsidRPr="00254B27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качества освоения программы подготовки специалистов среднего звена</w:t>
      </w:r>
      <w:proofErr w:type="gramEnd"/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8.1. Оценка качества освоения ППССЗ должна включать текущий контроль успеваемости, </w:t>
      </w: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промежуточную</w:t>
      </w:r>
      <w:proofErr w:type="gram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государственную итоговую аттестации обучающихся.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Фонды оценочных сре</w:t>
      </w: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дств дл</w:t>
      </w:r>
      <w:proofErr w:type="gram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8.4. Оценка качества подготовки обучающихся и выпускников осуществляется в двух основных направлениях: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оценка уровня освоения дисциплин;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оценка компетенций обучающихся.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юношей предусматривается оценка результатов освоения основ военной службы.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</w:t>
      </w:r>
      <w:hyperlink r:id="rId97" w:anchor="3333" w:history="1">
        <w:r w:rsidRPr="00254B27">
          <w:rPr>
            <w:rFonts w:ascii="Arial" w:eastAsia="Times New Roman" w:hAnsi="Arial" w:cs="Arial"/>
            <w:color w:val="2060A4"/>
            <w:sz w:val="23"/>
            <w:u w:val="single"/>
            <w:lang w:eastAsia="ru-RU"/>
          </w:rPr>
          <w:t>***</w:t>
        </w:r>
      </w:hyperlink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Государственный экзамен вводится по усмотрению образовательной организации.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______________________________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* Собрание законодательства Российской Федерации, 2012, № 53, ст. 7598; 2013, № 19, ст. 2326; № 23, ст. 2878; № 27, ст. 3462; № 30, ст. 4036; № 48, ст. 6165; 2014, № 6, ст. 562, ст. 566.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** Пункт 1 статьи 13 Федерального закона от 28 марта 1998 г. № 53-ФЗ «О воинской обязанности и военной службе» (Собрание законодательства Российской Федерации, 1998, № 13, ст. 1475; № 30, ст. 3613; 2000, № 33, ст. 3348; № 46, ст. 4537; 2001, № 7, ст. 620, ст. 621; № 30, ст. 3061; 2002, № 7, ст. 631; № 21, ст. 1919;</w:t>
      </w:r>
      <w:proofErr w:type="gram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№ </w:t>
      </w: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26, ст. 2521; № 30, ст. 3029, ст. 3030, ст. 3033; 2003, № 1, ст. 1; № 8, ст. 709; № 27, ст. 2700; № 46, ст. 4437; 2004, № 8, ст. 600; № 17, ст. 1587; № 18, ст. 1687; № 25, ст. 2484; № 27, ст. 2711; № 35, ст. 3607; № 49, ст. 4848; 2005, № 10, ст. 763; № 14, ст. 1212;</w:t>
      </w:r>
      <w:proofErr w:type="gram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№ </w:t>
      </w: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27, ст. 2716; № 29, ст. 2907; № 30, ст. 3110, ст. 3111; № 40, ст. 3987; № 43, ст. 4349; № 49, ст. 5127; 2006, № 1, ст. 10, ст. 22; № 11, ст. 1148; № 19, ст. 2062; № 28, ст. 2974, № 29, ст. 3121, ст. 3122, ст. 3123; № 41, ст. 4206; № 44, ст. 4534; № 50, ст. 5281;</w:t>
      </w:r>
      <w:proofErr w:type="gram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2007, № 2, ст. 362; № 16, ст. 1830; № 31, ст. 4011; № 45, ст. 5418; № 49, ст. 6070, ст. 6074; № 50, ст. 6241; 2008, № 30, ст. 3616; № 49, ст. 5746; № 52, ст. 6235; 2009, № 7, ст. 769; № 18, ст. 2149; № 23, ст. 2765; № 26, ст. 3124; № 48, ст. 5735, ст. 5736; № 51, ст. 6149;</w:t>
      </w:r>
      <w:proofErr w:type="gram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№ </w:t>
      </w: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52, ст. 6404; 2010, № 11, ст. 1167, ст. 1176, ст. 1177; № 31, ст. 4192; № 49, ст. 6415; 2011, № 1, ст. 16; № 27, ст. 3878; № 30, ст. 4589; № 48, ст. 6730; № 49, ст. 7021, ст. 7053, ст. 7054; № 50, ст. 7366; 2012, № 50, ст. 6954; № 53, ст. 7613; 2013, № 9, ст. 870;</w:t>
      </w:r>
      <w:proofErr w:type="gram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№ </w:t>
      </w: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19, ст. 2329; ст. 2331; № 23, ст. 2869; № 27, ст. 3462, ст. 3477; № 48, ст. 6165).</w:t>
      </w:r>
      <w:proofErr w:type="gramEnd"/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*** Часть 6 статьи 59 Федерального закона от 29 декабря 2012 г. № 273-ФЗ «Об образовании в Российской Федерации» (Собрание законодательства Российской Федерации, 2012, № 53, ст. 7598; 2013, № 19, ст. 2326; № 23, ст. 2878; № 27, ст. 3462; № 30, ст. 4036; № 48, ст. 6165; 2014, № 6, ст. 562, ст. 566).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</w:t>
      </w: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</w:t>
      </w:r>
      <w:r w:rsidRPr="00254B27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hyperlink r:id="rId98" w:anchor="1000" w:history="1">
        <w:r w:rsidRPr="00254B27">
          <w:rPr>
            <w:rFonts w:ascii="Arial" w:eastAsia="Times New Roman" w:hAnsi="Arial" w:cs="Arial"/>
            <w:color w:val="2060A4"/>
            <w:sz w:val="23"/>
            <w:u w:val="single"/>
            <w:lang w:eastAsia="ru-RU"/>
          </w:rPr>
          <w:t>ФГОС СПО</w:t>
        </w:r>
      </w:hyperlink>
      <w:r w:rsidRPr="00254B27">
        <w:rPr>
          <w:rFonts w:ascii="Arial" w:eastAsia="Times New Roman" w:hAnsi="Arial" w:cs="Arial"/>
          <w:color w:val="333333"/>
          <w:sz w:val="23"/>
          <w:lang w:eastAsia="ru-RU"/>
        </w:rPr>
        <w:t> </w:t>
      </w: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 специальности</w:t>
      </w: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35.02.15 Кинология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254B27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Перечень</w:t>
      </w:r>
      <w:r w:rsidRPr="00254B27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профессий рабочих, должностей служащих, рекомендуемых к освоению в рамках программы подготовки специалистов среднего звена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45"/>
        <w:gridCol w:w="3340"/>
      </w:tblGrid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по Общероссийскому классификатору профессий рабочих, должностей служащих и тарифных разрядов (ОК 016-94)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профессий рабочих, должностей служащих</w:t>
            </w:r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54B27" w:rsidRPr="00254B27" w:rsidTr="00254B27"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18621</w:t>
            </w:r>
          </w:p>
        </w:tc>
        <w:tc>
          <w:tcPr>
            <w:tcW w:w="0" w:type="auto"/>
            <w:hideMark/>
          </w:tcPr>
          <w:p w:rsidR="00254B27" w:rsidRPr="00254B27" w:rsidRDefault="00254B27" w:rsidP="00254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Собаковод</w:t>
            </w:r>
          </w:p>
        </w:tc>
      </w:tr>
    </w:tbl>
    <w:p w:rsidR="00254B27" w:rsidRPr="00254B27" w:rsidRDefault="00254B27" w:rsidP="00254B27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0" w:name="review"/>
      <w:bookmarkEnd w:id="0"/>
      <w:r w:rsidRPr="00254B27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254B27" w:rsidRPr="00254B27" w:rsidRDefault="00644B5F" w:rsidP="00254B27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4B5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 федеральный государственный образовательный стандарт среднего профессионального образования по специальности "Кинология" (35.02.15).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Стандарт обязателен к применению образовательными организациями, которые имеют право на реализацию имеющих </w:t>
      </w:r>
      <w:proofErr w:type="spell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госаккредитацию</w:t>
      </w:r>
      <w:proofErr w:type="spell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программ подготовки специалистов среднего звена по данной специальности в России.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Приведена характеристика подготовки по специальности и профессиональной деятельности выпускников. Определены требования к результатам </w:t>
      </w:r>
      <w:proofErr w:type="gramStart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освоения программы подготовки специалистов среднего звена</w:t>
      </w:r>
      <w:proofErr w:type="gramEnd"/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к ее структуре.</w:t>
      </w:r>
    </w:p>
    <w:p w:rsidR="00254B27" w:rsidRPr="00254B27" w:rsidRDefault="00254B27" w:rsidP="00254B27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54B27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 вступает в силу с 1 сентября 2014 г.</w:t>
      </w:r>
    </w:p>
    <w:p w:rsidR="00EE313E" w:rsidRDefault="00EE313E"/>
    <w:sectPr w:rsidR="00EE313E" w:rsidSect="00EE3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B27"/>
    <w:rsid w:val="00254B27"/>
    <w:rsid w:val="00290B88"/>
    <w:rsid w:val="00644B5F"/>
    <w:rsid w:val="00B83572"/>
    <w:rsid w:val="00EE3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13E"/>
  </w:style>
  <w:style w:type="paragraph" w:styleId="2">
    <w:name w:val="heading 2"/>
    <w:basedOn w:val="a"/>
    <w:link w:val="20"/>
    <w:uiPriority w:val="9"/>
    <w:qFormat/>
    <w:rsid w:val="00254B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54B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4B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4B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5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4B27"/>
  </w:style>
  <w:style w:type="character" w:styleId="a4">
    <w:name w:val="Hyperlink"/>
    <w:basedOn w:val="a0"/>
    <w:uiPriority w:val="99"/>
    <w:semiHidden/>
    <w:unhideWhenUsed/>
    <w:rsid w:val="00254B2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54B27"/>
    <w:rPr>
      <w:color w:val="800080"/>
      <w:u w:val="single"/>
    </w:rPr>
  </w:style>
  <w:style w:type="paragraph" w:customStyle="1" w:styleId="toleft">
    <w:name w:val="toleft"/>
    <w:basedOn w:val="a"/>
    <w:rsid w:val="0025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arant.ru/products/ipo/prime/doc/70587458/" TargetMode="External"/><Relationship Id="rId21" Type="http://schemas.openxmlformats.org/officeDocument/2006/relationships/hyperlink" Target="http://www.garant.ru/products/ipo/prime/doc/70587458/" TargetMode="External"/><Relationship Id="rId34" Type="http://schemas.openxmlformats.org/officeDocument/2006/relationships/hyperlink" Target="http://www.garant.ru/products/ipo/prime/doc/70587458/" TargetMode="External"/><Relationship Id="rId42" Type="http://schemas.openxmlformats.org/officeDocument/2006/relationships/hyperlink" Target="http://www.garant.ru/products/ipo/prime/doc/70587458/" TargetMode="External"/><Relationship Id="rId47" Type="http://schemas.openxmlformats.org/officeDocument/2006/relationships/hyperlink" Target="http://www.garant.ru/products/ipo/prime/doc/70587458/" TargetMode="External"/><Relationship Id="rId50" Type="http://schemas.openxmlformats.org/officeDocument/2006/relationships/hyperlink" Target="http://www.garant.ru/products/ipo/prime/doc/70587458/" TargetMode="External"/><Relationship Id="rId55" Type="http://schemas.openxmlformats.org/officeDocument/2006/relationships/hyperlink" Target="http://www.garant.ru/products/ipo/prime/doc/70587458/" TargetMode="External"/><Relationship Id="rId63" Type="http://schemas.openxmlformats.org/officeDocument/2006/relationships/hyperlink" Target="http://www.garant.ru/products/ipo/prime/doc/70587458/" TargetMode="External"/><Relationship Id="rId68" Type="http://schemas.openxmlformats.org/officeDocument/2006/relationships/hyperlink" Target="http://www.garant.ru/products/ipo/prime/doc/70587458/" TargetMode="External"/><Relationship Id="rId76" Type="http://schemas.openxmlformats.org/officeDocument/2006/relationships/hyperlink" Target="http://www.garant.ru/products/ipo/prime/doc/70587458/" TargetMode="External"/><Relationship Id="rId84" Type="http://schemas.openxmlformats.org/officeDocument/2006/relationships/hyperlink" Target="http://www.garant.ru/products/ipo/prime/doc/70587458/" TargetMode="External"/><Relationship Id="rId89" Type="http://schemas.openxmlformats.org/officeDocument/2006/relationships/hyperlink" Target="http://www.garant.ru/products/ipo/prime/doc/70587458/" TargetMode="External"/><Relationship Id="rId97" Type="http://schemas.openxmlformats.org/officeDocument/2006/relationships/hyperlink" Target="http://www.garant.ru/products/ipo/prime/doc/70587458/" TargetMode="External"/><Relationship Id="rId7" Type="http://schemas.openxmlformats.org/officeDocument/2006/relationships/hyperlink" Target="http://www.garant.ru/products/ipo/prime/doc/70587458/" TargetMode="External"/><Relationship Id="rId71" Type="http://schemas.openxmlformats.org/officeDocument/2006/relationships/hyperlink" Target="http://www.garant.ru/products/ipo/prime/doc/70587458/" TargetMode="External"/><Relationship Id="rId92" Type="http://schemas.openxmlformats.org/officeDocument/2006/relationships/hyperlink" Target="http://www.garant.ru/products/ipo/prime/doc/7058745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arant.ru/products/ipo/prime/doc/70587458/" TargetMode="External"/><Relationship Id="rId29" Type="http://schemas.openxmlformats.org/officeDocument/2006/relationships/hyperlink" Target="http://www.garant.ru/products/ipo/prime/doc/70587458/" TargetMode="External"/><Relationship Id="rId11" Type="http://schemas.openxmlformats.org/officeDocument/2006/relationships/hyperlink" Target="http://www.garant.ru/products/ipo/prime/doc/70587458/" TargetMode="External"/><Relationship Id="rId24" Type="http://schemas.openxmlformats.org/officeDocument/2006/relationships/hyperlink" Target="http://www.garant.ru/products/ipo/prime/doc/70587458/" TargetMode="External"/><Relationship Id="rId32" Type="http://schemas.openxmlformats.org/officeDocument/2006/relationships/hyperlink" Target="http://www.garant.ru/products/ipo/prime/doc/70587458/" TargetMode="External"/><Relationship Id="rId37" Type="http://schemas.openxmlformats.org/officeDocument/2006/relationships/hyperlink" Target="http://www.garant.ru/products/ipo/prime/doc/70587458/" TargetMode="External"/><Relationship Id="rId40" Type="http://schemas.openxmlformats.org/officeDocument/2006/relationships/hyperlink" Target="http://www.garant.ru/products/ipo/prime/doc/70587458/" TargetMode="External"/><Relationship Id="rId45" Type="http://schemas.openxmlformats.org/officeDocument/2006/relationships/hyperlink" Target="http://www.garant.ru/products/ipo/prime/doc/70587458/" TargetMode="External"/><Relationship Id="rId53" Type="http://schemas.openxmlformats.org/officeDocument/2006/relationships/hyperlink" Target="http://www.garant.ru/products/ipo/prime/doc/70587458/" TargetMode="External"/><Relationship Id="rId58" Type="http://schemas.openxmlformats.org/officeDocument/2006/relationships/hyperlink" Target="http://www.garant.ru/products/ipo/prime/doc/70587458/" TargetMode="External"/><Relationship Id="rId66" Type="http://schemas.openxmlformats.org/officeDocument/2006/relationships/hyperlink" Target="http://www.garant.ru/products/ipo/prime/doc/70587458/" TargetMode="External"/><Relationship Id="rId74" Type="http://schemas.openxmlformats.org/officeDocument/2006/relationships/hyperlink" Target="http://www.garant.ru/products/ipo/prime/doc/70587458/" TargetMode="External"/><Relationship Id="rId79" Type="http://schemas.openxmlformats.org/officeDocument/2006/relationships/hyperlink" Target="http://www.garant.ru/products/ipo/prime/doc/70587458/" TargetMode="External"/><Relationship Id="rId87" Type="http://schemas.openxmlformats.org/officeDocument/2006/relationships/hyperlink" Target="http://www.garant.ru/products/ipo/prime/doc/70587458/" TargetMode="External"/><Relationship Id="rId5" Type="http://schemas.openxmlformats.org/officeDocument/2006/relationships/hyperlink" Target="http://www.garant.ru/products/ipo/prime/doc/70587458/" TargetMode="External"/><Relationship Id="rId61" Type="http://schemas.openxmlformats.org/officeDocument/2006/relationships/hyperlink" Target="http://www.garant.ru/products/ipo/prime/doc/70587458/" TargetMode="External"/><Relationship Id="rId82" Type="http://schemas.openxmlformats.org/officeDocument/2006/relationships/hyperlink" Target="http://www.garant.ru/products/ipo/prime/doc/70587458/" TargetMode="External"/><Relationship Id="rId90" Type="http://schemas.openxmlformats.org/officeDocument/2006/relationships/hyperlink" Target="http://www.garant.ru/products/ipo/prime/doc/70587458/" TargetMode="External"/><Relationship Id="rId95" Type="http://schemas.openxmlformats.org/officeDocument/2006/relationships/hyperlink" Target="http://cityadspix.com/tsclick-EBQRILTK-VRMIQUYF?url=http%3A%2F%2Fwww.enter.ru%2Fproduct%2Fchildren%2Fkniga-gramoteyka-intellektualnoe-razvitie-detey-3-4-let-2010110003325&amp;sa=1017&amp;sa1=&amp;sa2=&amp;sa3=&amp;sa4=&amp;sa5=&amp;bt=20&amp;pt=9&amp;lt=2&amp;tl=3&amp;im=Mjc3NS0wLTE0MTg1NzEwODUtMTI0NzI4NzQ%3D&amp;fid=NDQ2Mjk3NDU1&amp;prdct=3a0b3c0e3b093d0b32&amp;kw=3%20%D0%B3%D0%BE%D0%B4%D0%B0." TargetMode="External"/><Relationship Id="rId19" Type="http://schemas.openxmlformats.org/officeDocument/2006/relationships/hyperlink" Target="http://www.garant.ru/products/ipo/prime/doc/70587458/" TargetMode="External"/><Relationship Id="rId14" Type="http://schemas.openxmlformats.org/officeDocument/2006/relationships/hyperlink" Target="http://www.garant.ru/products/ipo/prime/doc/70587458/" TargetMode="External"/><Relationship Id="rId22" Type="http://schemas.openxmlformats.org/officeDocument/2006/relationships/hyperlink" Target="http://www.garant.ru/products/ipo/prime/doc/70587458/" TargetMode="External"/><Relationship Id="rId27" Type="http://schemas.openxmlformats.org/officeDocument/2006/relationships/hyperlink" Target="http://www.garant.ru/products/ipo/prime/doc/70587458/" TargetMode="External"/><Relationship Id="rId30" Type="http://schemas.openxmlformats.org/officeDocument/2006/relationships/hyperlink" Target="http://www.garant.ru/products/ipo/prime/doc/70587458/" TargetMode="External"/><Relationship Id="rId35" Type="http://schemas.openxmlformats.org/officeDocument/2006/relationships/hyperlink" Target="http://www.garant.ru/products/ipo/prime/doc/70587458/" TargetMode="External"/><Relationship Id="rId43" Type="http://schemas.openxmlformats.org/officeDocument/2006/relationships/hyperlink" Target="http://www.garant.ru/products/ipo/prime/doc/70587458/" TargetMode="External"/><Relationship Id="rId48" Type="http://schemas.openxmlformats.org/officeDocument/2006/relationships/hyperlink" Target="http://www.garant.ru/products/ipo/prime/doc/70587458/" TargetMode="External"/><Relationship Id="rId56" Type="http://schemas.openxmlformats.org/officeDocument/2006/relationships/hyperlink" Target="http://www.garant.ru/products/ipo/prime/doc/70587458/" TargetMode="External"/><Relationship Id="rId64" Type="http://schemas.openxmlformats.org/officeDocument/2006/relationships/hyperlink" Target="http://www.garant.ru/products/ipo/prime/doc/70587458/" TargetMode="External"/><Relationship Id="rId69" Type="http://schemas.openxmlformats.org/officeDocument/2006/relationships/hyperlink" Target="http://www.garant.ru/products/ipo/prime/doc/70587458/" TargetMode="External"/><Relationship Id="rId77" Type="http://schemas.openxmlformats.org/officeDocument/2006/relationships/hyperlink" Target="http://www.garant.ru/products/ipo/prime/doc/70587458/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cityadspix.com/tsclick-EBQRILTK-VRMIQUYF?url=http%3A%2F%2Fwww.enter.ru%2Fproduct%2Fchildren%2Fkniga-gramoteyka-intellektualnoe-razvitie-detey-3-4-let-2010110003325&amp;sa=1017&amp;sa1=&amp;sa2=&amp;sa3=&amp;sa4=&amp;sa5=&amp;bt=20&amp;pt=9&amp;lt=2&amp;tl=3&amp;sa=1017&amp;sa1=&amp;sa2=&amp;sa3=&amp;sa4=&amp;sa5=&amp;im=Mjc3NS0wLTE0MTg1NzEwODUtMTgzMzg2ODU%3D&amp;fid=NDQ2Mjk3NDU1&amp;prdct=3a0b3c0e3b093d0b32&amp;kw=3%20%D0%B3%D0%BE%D0%B4%D0%B0" TargetMode="External"/><Relationship Id="rId51" Type="http://schemas.openxmlformats.org/officeDocument/2006/relationships/hyperlink" Target="http://www.garant.ru/products/ipo/prime/doc/70587458/" TargetMode="External"/><Relationship Id="rId72" Type="http://schemas.openxmlformats.org/officeDocument/2006/relationships/hyperlink" Target="http://www.garant.ru/products/ipo/prime/doc/70587458/" TargetMode="External"/><Relationship Id="rId80" Type="http://schemas.openxmlformats.org/officeDocument/2006/relationships/hyperlink" Target="http://www.garant.ru/products/ipo/prime/doc/70587458/" TargetMode="External"/><Relationship Id="rId85" Type="http://schemas.openxmlformats.org/officeDocument/2006/relationships/hyperlink" Target="http://www.garant.ru/products/ipo/prime/doc/70587458/" TargetMode="External"/><Relationship Id="rId93" Type="http://schemas.openxmlformats.org/officeDocument/2006/relationships/hyperlink" Target="http://www.garant.ru/products/ipo/prime/doc/70587458/" TargetMode="External"/><Relationship Id="rId98" Type="http://schemas.openxmlformats.org/officeDocument/2006/relationships/hyperlink" Target="http://www.garant.ru/products/ipo/prime/doc/70587458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garant.ru/products/ipo/prime/doc/70587458/" TargetMode="External"/><Relationship Id="rId17" Type="http://schemas.openxmlformats.org/officeDocument/2006/relationships/hyperlink" Target="http://www.garant.ru/products/ipo/prime/doc/70587458/" TargetMode="External"/><Relationship Id="rId25" Type="http://schemas.openxmlformats.org/officeDocument/2006/relationships/hyperlink" Target="http://www.garant.ru/products/ipo/prime/doc/70587458/" TargetMode="External"/><Relationship Id="rId33" Type="http://schemas.openxmlformats.org/officeDocument/2006/relationships/hyperlink" Target="http://www.garant.ru/products/ipo/prime/doc/70587458/" TargetMode="External"/><Relationship Id="rId38" Type="http://schemas.openxmlformats.org/officeDocument/2006/relationships/hyperlink" Target="http://www.garant.ru/products/ipo/prime/doc/70587458/" TargetMode="External"/><Relationship Id="rId46" Type="http://schemas.openxmlformats.org/officeDocument/2006/relationships/hyperlink" Target="http://www.garant.ru/products/ipo/prime/doc/70587458/" TargetMode="External"/><Relationship Id="rId59" Type="http://schemas.openxmlformats.org/officeDocument/2006/relationships/hyperlink" Target="http://www.garant.ru/products/ipo/prime/doc/70587458/" TargetMode="External"/><Relationship Id="rId67" Type="http://schemas.openxmlformats.org/officeDocument/2006/relationships/hyperlink" Target="http://www.garant.ru/products/ipo/prime/doc/70587458/" TargetMode="External"/><Relationship Id="rId20" Type="http://schemas.openxmlformats.org/officeDocument/2006/relationships/hyperlink" Target="http://www.garant.ru/products/ipo/prime/doc/70587458/" TargetMode="External"/><Relationship Id="rId41" Type="http://schemas.openxmlformats.org/officeDocument/2006/relationships/hyperlink" Target="http://www.garant.ru/products/ipo/prime/doc/70587458/" TargetMode="External"/><Relationship Id="rId54" Type="http://schemas.openxmlformats.org/officeDocument/2006/relationships/hyperlink" Target="http://www.garant.ru/products/ipo/prime/doc/70587458/" TargetMode="External"/><Relationship Id="rId62" Type="http://schemas.openxmlformats.org/officeDocument/2006/relationships/hyperlink" Target="http://www.garant.ru/products/ipo/prime/doc/70587458/" TargetMode="External"/><Relationship Id="rId70" Type="http://schemas.openxmlformats.org/officeDocument/2006/relationships/hyperlink" Target="http://www.garant.ru/products/ipo/prime/doc/70587458/" TargetMode="External"/><Relationship Id="rId75" Type="http://schemas.openxmlformats.org/officeDocument/2006/relationships/hyperlink" Target="http://www.garant.ru/products/ipo/prime/doc/70587458/" TargetMode="External"/><Relationship Id="rId83" Type="http://schemas.openxmlformats.org/officeDocument/2006/relationships/hyperlink" Target="http://www.garant.ru/products/ipo/prime/doc/70587458/" TargetMode="External"/><Relationship Id="rId88" Type="http://schemas.openxmlformats.org/officeDocument/2006/relationships/hyperlink" Target="http://www.garant.ru/products/ipo/prime/doc/70587458/" TargetMode="External"/><Relationship Id="rId91" Type="http://schemas.openxmlformats.org/officeDocument/2006/relationships/hyperlink" Target="http://www.garant.ru/products/ipo/prime/doc/70587458/" TargetMode="External"/><Relationship Id="rId96" Type="http://schemas.openxmlformats.org/officeDocument/2006/relationships/hyperlink" Target="http://www.garant.ru/products/ipo/prime/doc/70587458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0587458/" TargetMode="External"/><Relationship Id="rId15" Type="http://schemas.openxmlformats.org/officeDocument/2006/relationships/hyperlink" Target="http://www.garant.ru/products/ipo/prime/doc/70587458/" TargetMode="External"/><Relationship Id="rId23" Type="http://schemas.openxmlformats.org/officeDocument/2006/relationships/hyperlink" Target="http://www.garant.ru/products/ipo/prime/doc/70587458/" TargetMode="External"/><Relationship Id="rId28" Type="http://schemas.openxmlformats.org/officeDocument/2006/relationships/hyperlink" Target="http://www.garant.ru/products/ipo/prime/doc/70587458/" TargetMode="External"/><Relationship Id="rId36" Type="http://schemas.openxmlformats.org/officeDocument/2006/relationships/hyperlink" Target="http://www.garant.ru/products/ipo/prime/doc/70587458/" TargetMode="External"/><Relationship Id="rId49" Type="http://schemas.openxmlformats.org/officeDocument/2006/relationships/hyperlink" Target="http://www.garant.ru/products/ipo/prime/doc/70587458/" TargetMode="External"/><Relationship Id="rId57" Type="http://schemas.openxmlformats.org/officeDocument/2006/relationships/hyperlink" Target="http://www.garant.ru/products/ipo/prime/doc/70587458/" TargetMode="External"/><Relationship Id="rId10" Type="http://schemas.openxmlformats.org/officeDocument/2006/relationships/hyperlink" Target="http://www.garant.ru/products/ipo/prime/doc/70587458/" TargetMode="External"/><Relationship Id="rId31" Type="http://schemas.openxmlformats.org/officeDocument/2006/relationships/hyperlink" Target="http://www.garant.ru/products/ipo/prime/doc/70587458/" TargetMode="External"/><Relationship Id="rId44" Type="http://schemas.openxmlformats.org/officeDocument/2006/relationships/hyperlink" Target="http://www.garant.ru/products/ipo/prime/doc/70587458/" TargetMode="External"/><Relationship Id="rId52" Type="http://schemas.openxmlformats.org/officeDocument/2006/relationships/hyperlink" Target="http://www.garant.ru/products/ipo/prime/doc/70587458/" TargetMode="External"/><Relationship Id="rId60" Type="http://schemas.openxmlformats.org/officeDocument/2006/relationships/hyperlink" Target="http://www.garant.ru/products/ipo/prime/doc/70587458/" TargetMode="External"/><Relationship Id="rId65" Type="http://schemas.openxmlformats.org/officeDocument/2006/relationships/hyperlink" Target="http://www.garant.ru/products/ipo/prime/doc/70587458/" TargetMode="External"/><Relationship Id="rId73" Type="http://schemas.openxmlformats.org/officeDocument/2006/relationships/hyperlink" Target="http://www.garant.ru/products/ipo/prime/doc/70587458/" TargetMode="External"/><Relationship Id="rId78" Type="http://schemas.openxmlformats.org/officeDocument/2006/relationships/hyperlink" Target="http://www.garant.ru/products/ipo/prime/doc/70587458/" TargetMode="External"/><Relationship Id="rId81" Type="http://schemas.openxmlformats.org/officeDocument/2006/relationships/hyperlink" Target="http://www.garant.ru/products/ipo/prime/doc/70587458/" TargetMode="External"/><Relationship Id="rId86" Type="http://schemas.openxmlformats.org/officeDocument/2006/relationships/hyperlink" Target="http://www.garant.ru/products/ipo/prime/doc/70587458/" TargetMode="External"/><Relationship Id="rId94" Type="http://schemas.openxmlformats.org/officeDocument/2006/relationships/hyperlink" Target="http://www.garant.ru/products/ipo/prime/doc/70587458/" TargetMode="External"/><Relationship Id="rId99" Type="http://schemas.openxmlformats.org/officeDocument/2006/relationships/fontTable" Target="fontTable.xml"/><Relationship Id="rId4" Type="http://schemas.openxmlformats.org/officeDocument/2006/relationships/hyperlink" Target="http://www.garant.ru/products/ipo/prime/doc/70587458/" TargetMode="External"/><Relationship Id="rId9" Type="http://schemas.openxmlformats.org/officeDocument/2006/relationships/hyperlink" Target="http://www.garant.ru/products/ipo/prime/doc/70587458/" TargetMode="External"/><Relationship Id="rId13" Type="http://schemas.openxmlformats.org/officeDocument/2006/relationships/hyperlink" Target="http://www.garant.ru/products/ipo/prime/doc/70587458/" TargetMode="External"/><Relationship Id="rId18" Type="http://schemas.openxmlformats.org/officeDocument/2006/relationships/hyperlink" Target="http://www.garant.ru/products/ipo/prime/doc/70587458/" TargetMode="External"/><Relationship Id="rId39" Type="http://schemas.openxmlformats.org/officeDocument/2006/relationships/hyperlink" Target="http://www.garant.ru/products/ipo/prime/doc/705874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8945</Words>
  <Characters>50991</Characters>
  <Application>Microsoft Office Word</Application>
  <DocSecurity>0</DocSecurity>
  <Lines>424</Lines>
  <Paragraphs>119</Paragraphs>
  <ScaleCrop>false</ScaleCrop>
  <Company/>
  <LinksUpToDate>false</LinksUpToDate>
  <CharactersWithSpaces>59817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2014-12-14T15:34:00Z</dcterms:created>
  <dcterms:modified xsi:type="dcterms:W3CDTF">2015-03-27T07:05:00Z</dcterms:modified>
</cp:coreProperties>
</file>