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DD2" w:rsidRDefault="001C4DD2" w:rsidP="001C4DD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C4DD2" w:rsidRDefault="001C4DD2" w:rsidP="001C4DD2">
      <w:pPr>
        <w:pStyle w:val="a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Республика Карелия</w:t>
      </w:r>
    </w:p>
    <w:p w:rsidR="001C4DD2" w:rsidRDefault="001C4DD2" w:rsidP="001C4DD2">
      <w:pPr>
        <w:pStyle w:val="a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Лоухский муниципальный район</w:t>
      </w:r>
    </w:p>
    <w:p w:rsidR="001C4DD2" w:rsidRDefault="001C4DD2" w:rsidP="001C4DD2">
      <w:pPr>
        <w:pStyle w:val="a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Администрация Плотинского сельского поселения</w:t>
      </w:r>
    </w:p>
    <w:p w:rsidR="001C4DD2" w:rsidRDefault="001C4DD2" w:rsidP="001C4DD2">
      <w:pPr>
        <w:pStyle w:val="a3"/>
        <w:jc w:val="center"/>
        <w:rPr>
          <w:rFonts w:ascii="Times New Roman" w:hAnsi="Times New Roman"/>
          <w:spacing w:val="60"/>
          <w:sz w:val="20"/>
          <w:szCs w:val="20"/>
        </w:rPr>
      </w:pPr>
    </w:p>
    <w:p w:rsidR="001C4DD2" w:rsidRDefault="001C4DD2" w:rsidP="001C4DD2">
      <w:pPr>
        <w:pStyle w:val="a3"/>
        <w:ind w:left="1416" w:hanging="1416"/>
        <w:jc w:val="center"/>
        <w:rPr>
          <w:rFonts w:ascii="Times New Roman" w:hAnsi="Times New Roman"/>
          <w:spacing w:val="60"/>
          <w:sz w:val="20"/>
          <w:szCs w:val="20"/>
        </w:rPr>
      </w:pPr>
      <w:r>
        <w:rPr>
          <w:rFonts w:ascii="Times New Roman" w:hAnsi="Times New Roman"/>
          <w:spacing w:val="60"/>
          <w:sz w:val="20"/>
          <w:szCs w:val="20"/>
        </w:rPr>
        <w:t>ПОСТАНОВЛЕНИЕ</w:t>
      </w:r>
    </w:p>
    <w:p w:rsidR="001C4DD2" w:rsidRDefault="001C4DD2" w:rsidP="001C4DD2">
      <w:pPr>
        <w:pStyle w:val="a3"/>
        <w:jc w:val="center"/>
        <w:rPr>
          <w:rFonts w:ascii="Times New Roman" w:hAnsi="Times New Roman"/>
          <w:sz w:val="20"/>
          <w:szCs w:val="20"/>
        </w:rPr>
      </w:pPr>
    </w:p>
    <w:p w:rsidR="001C4DD2" w:rsidRDefault="00B31D66" w:rsidP="001C4DD2">
      <w:pPr>
        <w:pStyle w:val="a3"/>
        <w:jc w:val="center"/>
      </w:pPr>
      <w:r>
        <w:rPr>
          <w:rFonts w:ascii="Times New Roman" w:hAnsi="Times New Roman"/>
          <w:sz w:val="20"/>
          <w:szCs w:val="20"/>
        </w:rPr>
        <w:t>09</w:t>
      </w:r>
      <w:r w:rsidR="001C4DD2">
        <w:rPr>
          <w:rFonts w:ascii="Times New Roman" w:hAnsi="Times New Roman"/>
          <w:sz w:val="20"/>
          <w:szCs w:val="20"/>
        </w:rPr>
        <w:t xml:space="preserve"> июля  2019 года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№ 10</w:t>
      </w:r>
      <w:r w:rsidR="001C4DD2">
        <w:rPr>
          <w:rFonts w:ascii="Times New Roman" w:hAnsi="Times New Roman"/>
          <w:sz w:val="20"/>
          <w:szCs w:val="20"/>
        </w:rPr>
        <w:t xml:space="preserve">  </w:t>
      </w:r>
    </w:p>
    <w:p w:rsidR="001C4DD2" w:rsidRDefault="001C4DD2" w:rsidP="001C4DD2">
      <w:pPr>
        <w:pStyle w:val="a3"/>
        <w:jc w:val="center"/>
        <w:rPr>
          <w:rFonts w:ascii="Times New Roman" w:hAnsi="Times New Roman"/>
          <w:sz w:val="20"/>
          <w:szCs w:val="20"/>
        </w:rPr>
      </w:pPr>
    </w:p>
    <w:p w:rsidR="001C4DD2" w:rsidRDefault="001C4DD2" w:rsidP="001C4DD2">
      <w:pPr>
        <w:shd w:val="clear" w:color="auto" w:fill="FFFFFF"/>
        <w:spacing w:after="213" w:line="250" w:lineRule="atLeast"/>
        <w:outlineLvl w:val="1"/>
        <w:rPr>
          <w:rFonts w:ascii="Times New Roman" w:hAnsi="Times New Roman"/>
          <w:bCs/>
          <w:sz w:val="20"/>
          <w:szCs w:val="20"/>
          <w:lang w:eastAsia="ru-RU"/>
        </w:rPr>
      </w:pPr>
    </w:p>
    <w:p w:rsidR="001C4DD2" w:rsidRDefault="001C4DD2" w:rsidP="001C4DD2">
      <w:pPr>
        <w:shd w:val="clear" w:color="auto" w:fill="FFFFFF"/>
        <w:spacing w:after="213" w:line="250" w:lineRule="atLeast"/>
        <w:jc w:val="center"/>
        <w:outlineLvl w:val="1"/>
        <w:rPr>
          <w:rFonts w:ascii="Times New Roman" w:hAnsi="Times New Roman"/>
          <w:bCs/>
          <w:sz w:val="20"/>
          <w:szCs w:val="20"/>
          <w:lang w:eastAsia="ru-RU"/>
        </w:rPr>
      </w:pPr>
      <w:r>
        <w:rPr>
          <w:rFonts w:ascii="Times New Roman" w:hAnsi="Times New Roman"/>
          <w:bCs/>
          <w:sz w:val="20"/>
          <w:szCs w:val="20"/>
          <w:lang w:eastAsia="ru-RU"/>
        </w:rPr>
        <w:t>Об утверждении Порядка формирования перечня налоговых расходов и оценки налоговых расходов муниципального образования</w:t>
      </w:r>
    </w:p>
    <w:p w:rsidR="001C4DD2" w:rsidRDefault="001C4DD2" w:rsidP="001C4DD2">
      <w:pPr>
        <w:shd w:val="clear" w:color="auto" w:fill="FFFFFF"/>
        <w:spacing w:after="213" w:line="250" w:lineRule="atLeast"/>
        <w:jc w:val="center"/>
        <w:outlineLvl w:val="1"/>
        <w:rPr>
          <w:rFonts w:ascii="Times New Roman" w:hAnsi="Times New Roman"/>
          <w:bCs/>
          <w:sz w:val="20"/>
          <w:szCs w:val="20"/>
          <w:lang w:eastAsia="ru-RU"/>
        </w:rPr>
      </w:pPr>
    </w:p>
    <w:p w:rsidR="001C4DD2" w:rsidRDefault="001C4DD2" w:rsidP="001C4DD2">
      <w:pPr>
        <w:shd w:val="clear" w:color="auto" w:fill="FFFFFF"/>
        <w:spacing w:after="213" w:line="250" w:lineRule="atLeast"/>
        <w:jc w:val="center"/>
        <w:outlineLvl w:val="1"/>
        <w:rPr>
          <w:rFonts w:ascii="Times New Roman" w:hAnsi="Times New Roman"/>
          <w:bCs/>
          <w:sz w:val="20"/>
          <w:szCs w:val="20"/>
          <w:lang w:eastAsia="ru-RU"/>
        </w:rPr>
      </w:pPr>
    </w:p>
    <w:p w:rsidR="001C4DD2" w:rsidRDefault="001C4DD2" w:rsidP="001C4DD2">
      <w:pPr>
        <w:shd w:val="clear" w:color="auto" w:fill="FFFFFF"/>
        <w:spacing w:after="213" w:line="250" w:lineRule="atLeast"/>
        <w:jc w:val="both"/>
        <w:outlineLvl w:val="1"/>
        <w:rPr>
          <w:rFonts w:ascii="Times New Roman" w:hAnsi="Times New Roman"/>
          <w:bCs/>
          <w:sz w:val="20"/>
          <w:szCs w:val="20"/>
          <w:lang w:eastAsia="ru-RU"/>
        </w:rPr>
      </w:pPr>
      <w:r>
        <w:rPr>
          <w:rFonts w:ascii="Times New Roman" w:hAnsi="Times New Roman"/>
          <w:bCs/>
          <w:sz w:val="20"/>
          <w:szCs w:val="20"/>
          <w:lang w:eastAsia="ru-RU"/>
        </w:rPr>
        <w:t xml:space="preserve">В соответствии  со ст. 174.3 Бюджетного кодекса Российской Федерации,   администрация муниципального образования </w:t>
      </w:r>
    </w:p>
    <w:p w:rsidR="001C4DD2" w:rsidRDefault="001C4DD2" w:rsidP="001C4DD2">
      <w:pPr>
        <w:shd w:val="clear" w:color="auto" w:fill="FFFFFF"/>
        <w:spacing w:after="213" w:line="250" w:lineRule="atLeast"/>
        <w:jc w:val="both"/>
        <w:outlineLvl w:val="1"/>
        <w:rPr>
          <w:rFonts w:ascii="Times New Roman" w:hAnsi="Times New Roman"/>
          <w:bCs/>
          <w:sz w:val="20"/>
          <w:szCs w:val="20"/>
          <w:lang w:eastAsia="ru-RU"/>
        </w:rPr>
      </w:pPr>
    </w:p>
    <w:p w:rsidR="001C4DD2" w:rsidRDefault="001C4DD2" w:rsidP="001C4DD2">
      <w:pPr>
        <w:shd w:val="clear" w:color="auto" w:fill="FFFFFF"/>
        <w:spacing w:after="213" w:line="250" w:lineRule="atLeast"/>
        <w:jc w:val="both"/>
        <w:outlineLvl w:val="1"/>
        <w:rPr>
          <w:rFonts w:ascii="Times New Roman" w:hAnsi="Times New Roman"/>
          <w:bCs/>
          <w:sz w:val="20"/>
          <w:szCs w:val="20"/>
          <w:lang w:eastAsia="ru-RU"/>
        </w:rPr>
      </w:pPr>
    </w:p>
    <w:p w:rsidR="001C4DD2" w:rsidRDefault="001C4DD2" w:rsidP="001C4DD2">
      <w:pPr>
        <w:shd w:val="clear" w:color="auto" w:fill="FFFFFF"/>
        <w:spacing w:after="213" w:line="250" w:lineRule="atLeast"/>
        <w:jc w:val="center"/>
        <w:outlineLvl w:val="1"/>
        <w:rPr>
          <w:rFonts w:ascii="Times New Roman" w:hAnsi="Times New Roman"/>
          <w:bCs/>
          <w:sz w:val="20"/>
          <w:szCs w:val="20"/>
          <w:lang w:eastAsia="ru-RU"/>
        </w:rPr>
      </w:pPr>
      <w:r>
        <w:rPr>
          <w:rFonts w:ascii="Times New Roman" w:hAnsi="Times New Roman"/>
          <w:bCs/>
          <w:sz w:val="20"/>
          <w:szCs w:val="20"/>
          <w:lang w:eastAsia="ru-RU"/>
        </w:rPr>
        <w:t>Администрация Плотинского сельского поселения</w:t>
      </w:r>
    </w:p>
    <w:p w:rsidR="001C4DD2" w:rsidRDefault="001C4DD2" w:rsidP="001C4DD2">
      <w:pPr>
        <w:shd w:val="clear" w:color="auto" w:fill="FFFFFF"/>
        <w:spacing w:after="213" w:line="250" w:lineRule="atLeast"/>
        <w:jc w:val="center"/>
        <w:outlineLvl w:val="1"/>
        <w:rPr>
          <w:rFonts w:ascii="Times New Roman" w:hAnsi="Times New Roman"/>
          <w:bCs/>
          <w:sz w:val="20"/>
          <w:szCs w:val="20"/>
          <w:lang w:eastAsia="ru-RU"/>
        </w:rPr>
      </w:pPr>
      <w:r>
        <w:rPr>
          <w:rFonts w:ascii="Times New Roman" w:hAnsi="Times New Roman"/>
          <w:bCs/>
          <w:sz w:val="20"/>
          <w:szCs w:val="20"/>
          <w:lang w:eastAsia="ru-RU"/>
        </w:rPr>
        <w:t>ПОСТАНОВЛЯЕТ:</w:t>
      </w:r>
    </w:p>
    <w:p w:rsidR="001C4DD2" w:rsidRDefault="001C4DD2" w:rsidP="001C4DD2">
      <w:pPr>
        <w:shd w:val="clear" w:color="auto" w:fill="FFFFFF"/>
        <w:spacing w:after="213" w:line="250" w:lineRule="atLeast"/>
        <w:jc w:val="center"/>
        <w:outlineLvl w:val="1"/>
        <w:rPr>
          <w:rFonts w:ascii="Times New Roman" w:hAnsi="Times New Roman"/>
          <w:bCs/>
          <w:sz w:val="20"/>
          <w:szCs w:val="20"/>
          <w:lang w:eastAsia="ru-RU"/>
        </w:rPr>
      </w:pPr>
    </w:p>
    <w:p w:rsidR="001C4DD2" w:rsidRDefault="001C4DD2" w:rsidP="001C4DD2">
      <w:pPr>
        <w:shd w:val="clear" w:color="auto" w:fill="FFFFFF"/>
        <w:spacing w:after="213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bookmarkStart w:id="0" w:name="0"/>
      <w:bookmarkEnd w:id="0"/>
      <w:r>
        <w:rPr>
          <w:rFonts w:ascii="Times New Roman" w:hAnsi="Times New Roman"/>
          <w:sz w:val="20"/>
          <w:szCs w:val="20"/>
          <w:lang w:eastAsia="ru-RU"/>
        </w:rPr>
        <w:t>1. Утвердить прилагаемый Порядок формирования перечня налоговых расходов и оценки налоговых расходов муниципального образования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.(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Приложение №1).</w:t>
      </w:r>
    </w:p>
    <w:p w:rsidR="001C4DD2" w:rsidRDefault="001C4DD2" w:rsidP="001C4DD2">
      <w:pPr>
        <w:shd w:val="clear" w:color="auto" w:fill="FFFFFF"/>
        <w:spacing w:after="213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2. Настоящее постановление вступает в силу с 1 января 2020 года.</w:t>
      </w:r>
    </w:p>
    <w:p w:rsidR="001C4DD2" w:rsidRDefault="001C4DD2" w:rsidP="001C4DD2">
      <w:pPr>
        <w:shd w:val="clear" w:color="auto" w:fill="FFFFFF"/>
        <w:spacing w:after="213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3.  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Администрации муниципального образования </w:t>
      </w:r>
      <w:r>
        <w:rPr>
          <w:rFonts w:ascii="Times New Roman" w:hAnsi="Times New Roman"/>
          <w:sz w:val="20"/>
          <w:szCs w:val="20"/>
          <w:lang w:eastAsia="ru-RU"/>
        </w:rPr>
        <w:t xml:space="preserve">обеспечить утверждение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методик оценки эффективности налоговых расходов муниципального образования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.</w:t>
      </w:r>
    </w:p>
    <w:p w:rsidR="001C4DD2" w:rsidRDefault="001C4DD2" w:rsidP="001C4DD2">
      <w:pPr>
        <w:pStyle w:val="ConsPlusNormal0"/>
        <w:ind w:firstLine="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</w:rPr>
        <w:t>4. Опубликовать настоящее постановление в информационном бюллетене «Вестник поселения» и разместить на официальном сайте администрации Лоухского муниципального район</w:t>
      </w:r>
      <w:proofErr w:type="gramStart"/>
      <w:r>
        <w:rPr>
          <w:rFonts w:ascii="Times New Roman" w:hAnsi="Times New Roman"/>
          <w:sz w:val="20"/>
          <w:szCs w:val="20"/>
        </w:rPr>
        <w:t>а(</w:t>
      </w:r>
      <w:proofErr w:type="gramEnd"/>
      <w:r>
        <w:rPr>
          <w:rFonts w:ascii="Times New Roman" w:hAnsi="Times New Roman"/>
          <w:sz w:val="20"/>
          <w:szCs w:val="20"/>
        </w:rPr>
        <w:t>в отделе Плотинского сельского поселения) в информационно-телекоммуникационной сети "Интернет".</w:t>
      </w:r>
    </w:p>
    <w:p w:rsidR="001C4DD2" w:rsidRDefault="001C4DD2" w:rsidP="001C4DD2">
      <w:pPr>
        <w:pStyle w:val="ConsPlusNormal0"/>
        <w:ind w:firstLine="0"/>
        <w:jc w:val="both"/>
        <w:rPr>
          <w:rFonts w:ascii="Times New Roman" w:hAnsi="Times New Roman"/>
          <w:sz w:val="20"/>
          <w:szCs w:val="20"/>
        </w:rPr>
      </w:pPr>
    </w:p>
    <w:p w:rsidR="001C4DD2" w:rsidRDefault="001C4DD2" w:rsidP="001C4DD2">
      <w:pPr>
        <w:pStyle w:val="ConsPlusNormal0"/>
        <w:ind w:firstLine="0"/>
        <w:jc w:val="both"/>
        <w:rPr>
          <w:rFonts w:ascii="Times New Roman" w:hAnsi="Times New Roman"/>
          <w:sz w:val="20"/>
          <w:szCs w:val="20"/>
        </w:rPr>
      </w:pPr>
    </w:p>
    <w:p w:rsidR="001C4DD2" w:rsidRDefault="001C4DD2" w:rsidP="001C4DD2">
      <w:pPr>
        <w:pStyle w:val="ConsPlusNormal0"/>
        <w:jc w:val="both"/>
        <w:rPr>
          <w:rFonts w:ascii="Times New Roman" w:hAnsi="Times New Roman"/>
          <w:sz w:val="20"/>
          <w:szCs w:val="20"/>
        </w:rPr>
      </w:pPr>
    </w:p>
    <w:p w:rsidR="001C4DD2" w:rsidRDefault="001C4DD2" w:rsidP="001C4DD2">
      <w:pPr>
        <w:pStyle w:val="ConsPlusNormal0"/>
        <w:rPr>
          <w:rFonts w:ascii="Times New Roman" w:hAnsi="Times New Roman"/>
          <w:sz w:val="20"/>
          <w:szCs w:val="20"/>
        </w:rPr>
      </w:pPr>
    </w:p>
    <w:p w:rsidR="001C4DD2" w:rsidRDefault="001C4DD2" w:rsidP="001C4DD2">
      <w:pPr>
        <w:pStyle w:val="ConsPlusNormal0"/>
        <w:ind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Глава Плотинского сельского поселения:                                          О.Н. Квяткевич</w:t>
      </w:r>
    </w:p>
    <w:p w:rsidR="001C4DD2" w:rsidRDefault="001C4DD2" w:rsidP="001C4DD2">
      <w:pPr>
        <w:pStyle w:val="ConsPlusNormal0"/>
        <w:jc w:val="both"/>
        <w:rPr>
          <w:rFonts w:ascii="Times New Roman" w:hAnsi="Times New Roman"/>
        </w:rPr>
      </w:pPr>
    </w:p>
    <w:p w:rsidR="001C4DD2" w:rsidRDefault="001C4DD2" w:rsidP="001C4DD2">
      <w:pPr>
        <w:pStyle w:val="ConsPlusNormal0"/>
        <w:jc w:val="both"/>
        <w:rPr>
          <w:rFonts w:ascii="Times New Roman" w:hAnsi="Times New Roman"/>
        </w:rPr>
      </w:pPr>
    </w:p>
    <w:p w:rsidR="001C4DD2" w:rsidRDefault="001C4DD2" w:rsidP="001C4DD2">
      <w:pPr>
        <w:pStyle w:val="ConsPlusNormal0"/>
        <w:jc w:val="both"/>
        <w:rPr>
          <w:rFonts w:ascii="Times New Roman" w:hAnsi="Times New Roman"/>
        </w:rPr>
      </w:pPr>
    </w:p>
    <w:p w:rsidR="001C4DD2" w:rsidRDefault="001C4DD2" w:rsidP="001C4DD2">
      <w:pPr>
        <w:pStyle w:val="ConsPlusNormal0"/>
        <w:jc w:val="both"/>
        <w:rPr>
          <w:rFonts w:ascii="Times New Roman" w:hAnsi="Times New Roman"/>
        </w:rPr>
      </w:pPr>
    </w:p>
    <w:p w:rsidR="001C4DD2" w:rsidRDefault="001C4DD2" w:rsidP="001C4DD2">
      <w:pPr>
        <w:pStyle w:val="ConsPlusNormal0"/>
        <w:ind w:firstLine="0"/>
        <w:jc w:val="both"/>
        <w:rPr>
          <w:rFonts w:ascii="Times New Roman" w:hAnsi="Times New Roman"/>
        </w:rPr>
      </w:pPr>
    </w:p>
    <w:p w:rsidR="001C4DD2" w:rsidRDefault="001C4DD2" w:rsidP="001C4DD2">
      <w:pPr>
        <w:pStyle w:val="ConsPlusNormal0"/>
        <w:jc w:val="both"/>
        <w:rPr>
          <w:rFonts w:ascii="Times New Roman" w:hAnsi="Times New Roman"/>
          <w:bCs/>
        </w:rPr>
      </w:pPr>
    </w:p>
    <w:p w:rsidR="001C4DD2" w:rsidRDefault="001C4DD2" w:rsidP="001C4DD2">
      <w:pPr>
        <w:pStyle w:val="ConsPlusNormal0"/>
        <w:jc w:val="both"/>
        <w:rPr>
          <w:rFonts w:ascii="Times New Roman" w:hAnsi="Times New Roman"/>
          <w:bCs/>
        </w:rPr>
      </w:pPr>
    </w:p>
    <w:p w:rsidR="001C4DD2" w:rsidRDefault="001C4DD2" w:rsidP="001C4DD2">
      <w:pPr>
        <w:pStyle w:val="ConsPlusNormal0"/>
        <w:jc w:val="both"/>
        <w:rPr>
          <w:rFonts w:ascii="Times New Roman" w:hAnsi="Times New Roman"/>
          <w:bCs/>
        </w:rPr>
      </w:pPr>
    </w:p>
    <w:p w:rsidR="001C4DD2" w:rsidRDefault="001C4DD2" w:rsidP="001C4DD2">
      <w:pPr>
        <w:pStyle w:val="ConsPlusNormal0"/>
        <w:jc w:val="both"/>
        <w:rPr>
          <w:rFonts w:ascii="Times New Roman" w:hAnsi="Times New Roman"/>
          <w:bCs/>
        </w:rPr>
      </w:pPr>
    </w:p>
    <w:p w:rsidR="001C4DD2" w:rsidRDefault="001C4DD2" w:rsidP="001C4DD2">
      <w:pPr>
        <w:pStyle w:val="ConsPlusNormal0"/>
        <w:jc w:val="both"/>
        <w:rPr>
          <w:rFonts w:ascii="Times New Roman" w:hAnsi="Times New Roman"/>
          <w:bCs/>
        </w:rPr>
      </w:pPr>
    </w:p>
    <w:p w:rsidR="001C4DD2" w:rsidRDefault="001C4DD2" w:rsidP="001C4DD2">
      <w:pPr>
        <w:pStyle w:val="ConsPlusNormal0"/>
        <w:jc w:val="both"/>
        <w:rPr>
          <w:rFonts w:ascii="Times New Roman" w:hAnsi="Times New Roman"/>
          <w:bCs/>
        </w:rPr>
      </w:pPr>
    </w:p>
    <w:p w:rsidR="001C4DD2" w:rsidRDefault="001C4DD2" w:rsidP="001C4DD2">
      <w:pPr>
        <w:pStyle w:val="ConsPlusNormal0"/>
        <w:jc w:val="both"/>
        <w:rPr>
          <w:rFonts w:ascii="Times New Roman" w:hAnsi="Times New Roman"/>
          <w:bCs/>
        </w:rPr>
      </w:pPr>
    </w:p>
    <w:p w:rsidR="001C4DD2" w:rsidRDefault="001C4DD2" w:rsidP="001C4DD2">
      <w:pPr>
        <w:shd w:val="clear" w:color="auto" w:fill="FFFFFF"/>
        <w:spacing w:after="0" w:line="225" w:lineRule="atLeast"/>
        <w:ind w:left="7020"/>
        <w:rPr>
          <w:rFonts w:ascii="Times New Roman" w:hAnsi="Times New Roman"/>
          <w:bCs/>
          <w:lang w:eastAsia="ru-RU"/>
        </w:rPr>
      </w:pPr>
    </w:p>
    <w:p w:rsidR="001C4DD2" w:rsidRDefault="001C4DD2" w:rsidP="001C4DD2">
      <w:pPr>
        <w:shd w:val="clear" w:color="auto" w:fill="FFFFFF"/>
        <w:spacing w:after="0" w:line="225" w:lineRule="atLeast"/>
        <w:ind w:left="7020"/>
        <w:rPr>
          <w:rFonts w:ascii="Times New Roman" w:hAnsi="Times New Roman"/>
          <w:bCs/>
          <w:lang w:eastAsia="ru-RU"/>
        </w:rPr>
      </w:pPr>
    </w:p>
    <w:p w:rsidR="001C4DD2" w:rsidRDefault="001C4DD2" w:rsidP="001C4DD2">
      <w:pPr>
        <w:shd w:val="clear" w:color="auto" w:fill="FFFFFF"/>
        <w:spacing w:after="0" w:line="225" w:lineRule="atLeast"/>
        <w:ind w:left="7020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lastRenderedPageBreak/>
        <w:t>Приложение №1</w:t>
      </w:r>
    </w:p>
    <w:p w:rsidR="001C4DD2" w:rsidRDefault="001C4DD2" w:rsidP="001C4DD2">
      <w:pPr>
        <w:shd w:val="clear" w:color="auto" w:fill="FFFFFF"/>
        <w:spacing w:after="0" w:line="225" w:lineRule="atLeast"/>
        <w:ind w:left="7020"/>
        <w:rPr>
          <w:rFonts w:ascii="Times New Roman" w:hAnsi="Times New Roman"/>
          <w:sz w:val="20"/>
          <w:szCs w:val="20"/>
          <w:lang w:eastAsia="ru-RU"/>
        </w:rPr>
      </w:pPr>
      <w:proofErr w:type="gramStart"/>
      <w:r>
        <w:rPr>
          <w:rFonts w:ascii="Times New Roman" w:hAnsi="Times New Roman"/>
          <w:sz w:val="20"/>
          <w:szCs w:val="20"/>
          <w:lang w:eastAsia="ru-RU"/>
        </w:rPr>
        <w:t>УТВЕРЖДЕН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br/>
        <w:t xml:space="preserve">постановлением </w:t>
      </w:r>
    </w:p>
    <w:p w:rsidR="001C4DD2" w:rsidRDefault="001C4DD2" w:rsidP="001C4DD2">
      <w:pPr>
        <w:shd w:val="clear" w:color="auto" w:fill="FFFFFF"/>
        <w:spacing w:after="0" w:line="225" w:lineRule="atLeast"/>
        <w:ind w:left="70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администрации </w:t>
      </w:r>
    </w:p>
    <w:p w:rsidR="001C4DD2" w:rsidRDefault="001C4DD2" w:rsidP="001C4DD2">
      <w:pPr>
        <w:shd w:val="clear" w:color="auto" w:fill="FFFFFF"/>
        <w:spacing w:after="0" w:line="225" w:lineRule="atLeast"/>
        <w:ind w:left="7020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Плотинского сельского поселения</w:t>
      </w:r>
      <w:r>
        <w:rPr>
          <w:rFonts w:ascii="Times New Roman" w:hAnsi="Times New Roman"/>
          <w:sz w:val="20"/>
          <w:szCs w:val="20"/>
          <w:lang w:eastAsia="ru-RU"/>
        </w:rPr>
        <w:br/>
        <w:t>от 08.07.2019года                            № 9</w:t>
      </w:r>
    </w:p>
    <w:p w:rsidR="001C4DD2" w:rsidRDefault="001C4DD2" w:rsidP="001C4DD2">
      <w:pPr>
        <w:shd w:val="clear" w:color="auto" w:fill="FFFFFF"/>
        <w:spacing w:after="0" w:line="225" w:lineRule="atLeast"/>
        <w:jc w:val="center"/>
        <w:outlineLvl w:val="2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lang w:eastAsia="ru-RU"/>
        </w:rPr>
        <w:t>Порядок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br/>
        <w:t xml:space="preserve">формирования перечня налоговых расходов и оценки налоговых расходов </w:t>
      </w:r>
      <w:r>
        <w:rPr>
          <w:rFonts w:ascii="Times New Roman" w:hAnsi="Times New Roman"/>
          <w:b/>
          <w:sz w:val="20"/>
          <w:szCs w:val="20"/>
          <w:lang w:eastAsia="ru-RU"/>
        </w:rPr>
        <w:t>муниципального образования</w:t>
      </w:r>
    </w:p>
    <w:p w:rsidR="001C4DD2" w:rsidRDefault="001C4DD2" w:rsidP="001C4DD2">
      <w:pPr>
        <w:shd w:val="clear" w:color="auto" w:fill="FFFFFF"/>
        <w:spacing w:after="0" w:line="225" w:lineRule="atLeast"/>
        <w:jc w:val="center"/>
        <w:outlineLvl w:val="2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1C4DD2" w:rsidRDefault="001C4DD2" w:rsidP="001C4DD2">
      <w:pPr>
        <w:shd w:val="clear" w:color="auto" w:fill="FFFFFF"/>
        <w:spacing w:after="0" w:line="225" w:lineRule="atLeast"/>
        <w:jc w:val="center"/>
        <w:outlineLvl w:val="2"/>
        <w:rPr>
          <w:rFonts w:ascii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b/>
          <w:bCs/>
          <w:sz w:val="20"/>
          <w:szCs w:val="20"/>
          <w:lang w:eastAsia="ru-RU"/>
        </w:rPr>
        <w:t>I. Общие положения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1. Настоящий Порядок определяет процедуру формирования перечня налоговых расходов муниципального образования, реестра налоговых расходов муниципального образования и методику оценки налоговых расходов муниципального образования (далее - налоговые расходы).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Под оценкой налоговых расходов в целях настоящего Порядка понимается оценка объемов и оценка эффективности налоговых расходов.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2. В целях настоящего Порядка применяются следующие понятия и термины: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proofErr w:type="gramStart"/>
      <w:r>
        <w:rPr>
          <w:rFonts w:ascii="Times New Roman" w:hAnsi="Times New Roman"/>
          <w:sz w:val="20"/>
          <w:szCs w:val="20"/>
          <w:lang w:eastAsia="ru-RU"/>
        </w:rPr>
        <w:t>налоговые расходы - выпадающие доходы бюджета муниципального образования, обусловленные налоговыми льготами, освобождениями и иными преференциями по налогам, сборам, предусмотренными в качестве мер муниципальной поддержки в соответствии с целями муниципальных программ муниципального образования и (или) целями социально-экономической политики муниципального образования, не относящимися к муниципальным программам муниципального образования;</w:t>
      </w:r>
      <w:proofErr w:type="gramEnd"/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proofErr w:type="gramStart"/>
      <w:r>
        <w:rPr>
          <w:rFonts w:ascii="Times New Roman" w:hAnsi="Times New Roman"/>
          <w:sz w:val="20"/>
          <w:szCs w:val="20"/>
          <w:lang w:eastAsia="ru-RU"/>
        </w:rPr>
        <w:t>куратор налогового расхода - ответственный исполнитель муниципальной программы муниципального образования, орган местного самоуправления, ответственный в соответствии с полномочиями, установленными нормативными правовыми актами, за достижение соответствующих налоговому расходу целей муниципальной программы муниципального образования (ее структурных элементов) и (или) целей социально-экономического развития муниципального образования, не относящихся к муниципальным программам муниципального образования;</w:t>
      </w:r>
      <w:proofErr w:type="gramEnd"/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нераспределенные налоговые расходы - налоговые расходы, соответствующие целям социально-экономической политики муниципального образования, реализуемым в рамках нескольких муниципальных программ муниципального образования (муниципальных программ муниципального образования и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непрограммных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направлений деятельности);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социальные налоговые расходы - целевая категория налоговых расходов, включающая налоговые расходы, предоставляемые отдельным социально незащищенным группам населения, социально ориентированным некоммерческим организациям, а также организациям, целью деятельности которых является поддержка населения;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технические (финансовые) налоговые расходы - целевая категория налоговых расходов, включающая налоговые расходы, предоставляемые в целях уменьшения расходов налогоплательщиков, финансовое обеспечение которых осуществляется в полном объеме или частично за счет бюджета муниципального образования;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стимулирующие налоговые расходы - целевая категория налоговых расходов, включающая налоговые расходы, предоставляемые в целях стимулирования экономической активности субъектов предпринимательской деятельности и последующего увеличения объема налогов, сборов, задекларированных для уплаты получателями налоговых расходов, в бюджет муниципального образования;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нормативные характеристики налогового расхода - наименование налогового расхода, категории получателей, условия предоставления, срок действия, целевая категория налогового расхода, а также иные характеристики, предусмотренные разделом I приложения к настоящему Порядку;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целевые характеристики налогового расхода - цели предоставления, показатели (индикаторы) достижения целей предоставления налогового расхода, а также иные характеристики, предусмотренные разделом II приложения к настоящему Порядку;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фискальные характеристики налогового расхода - сведения о численности фактических получателей, фактическом и прогнозном объеме налогового расхода, а также об объеме налогов, сборов, задекларированных для уплаты получателями налоговых расходов, в бюджет муниципального образования, а также иные характеристики, предусмотренные разделом III приложения к настоящему Порядку;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proofErr w:type="gramStart"/>
      <w:r>
        <w:rPr>
          <w:rFonts w:ascii="Times New Roman" w:hAnsi="Times New Roman"/>
          <w:sz w:val="20"/>
          <w:szCs w:val="20"/>
          <w:lang w:eastAsia="ru-RU"/>
        </w:rPr>
        <w:t>перечень налоговых расходов - свод (перечень) налоговых расходов в разрезе муниципальных программ муниципального образования, их структурных элементов, а также направлений деятельности, не входящих в муниципальные программы муниципального образования, кураторов налоговых расходов, либо в разрезе кураторов налоговых расходов (в отношении нераспределенных налоговых расходов), содержащий указания на обусловливающие соответствующие налоговые расходы положения (статьи, части, пункты, подпункты, абзацы) федеральных законов, иных нормативных правовых актов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и международных договоров и сроки действия таких положений;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lastRenderedPageBreak/>
        <w:t>реестр налоговых расходов - совокупность данных о нормативных, фискальных и целевых характеристиках налоговых расходов, предусмотренных перечнем налоговых расходов;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паспорт налогового расхода - совокупность данных о нормативных, фискальных и целевых характеристиках налогового расхода.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3. В целях оценки налоговых расходов финансовый орган администрации муниципального образования: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а) формирует перечень налоговых расходов;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б) ведет реестр налоговых расходов;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в) формирует оценку фактического объема налогового расхода за отчетный финансовый год, оценку объема налогового расхода на текущий финансовый год, очередной финансовый год и плановый период;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г) осуществляет обобщение результатов оценки эффективности налоговых расходов, проводимой кураторами налоговых расходов.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4. В целях оценки налоговых расходов главные администраторы доходов бюджета муниципального образования формируют и представляют в финансовый орган администрации муниципального образования в отношении каждого налогового расхода данные о значениях фискальных характеристик соответствующего налогового расхода за год, предшествующий отчетному финансовому году, а также за 6 лет, предшествующих отчетному финансовому году.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5. В целях оценки налоговых расходов кураторы налоговых расходов: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а) формируют паспорта налоговых расходов, содержащие информацию по перечню согласно приложению к настоящему Порядку;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б) осуществляют оценку эффективности каждого курируемого налогового расхода и направляют результаты такой оценки в финансовый орган администрации поселения.</w:t>
      </w:r>
    </w:p>
    <w:p w:rsidR="001C4DD2" w:rsidRDefault="001C4DD2" w:rsidP="001C4DD2">
      <w:pPr>
        <w:shd w:val="clear" w:color="auto" w:fill="FFFFFF"/>
        <w:spacing w:after="0" w:line="225" w:lineRule="atLeast"/>
        <w:jc w:val="center"/>
        <w:outlineLvl w:val="2"/>
        <w:rPr>
          <w:rFonts w:ascii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b/>
          <w:bCs/>
          <w:sz w:val="20"/>
          <w:szCs w:val="20"/>
          <w:lang w:eastAsia="ru-RU"/>
        </w:rPr>
        <w:t>II. Формирование перечня налоговых расходов. Формирование и ведение реестра налоговых расходов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6. 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Проект перечня налоговых расходов на очередной финансовый год и плановый период разрабатывается финансовым органом администрации муниципального образования ежегодно в срок до 25 марта текущего финансового года и направляется на согласование в администрацию муниципального образования, ответственным исполнителям муниципальных программ муниципального образования, а также иным органам и организациям, которых проектом перечня налоговых расходов предлагается закрепить в качестве кураторов налоговых расходов.</w:t>
      </w:r>
      <w:proofErr w:type="gramEnd"/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7. 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Указанные в пункте 6 настоящего Порядка органы, организации в срок до 5 апреля текущего финансового года рассматривают проект перечня налоговых расходов на предмет распределения налоговых расходов по муниципальным программам муниципального образования, их структурным элементам, направлениям деятельности, не входящим в муниципальные программы муниципального образования, кураторам налоговых расходов, и в случае несогласия с указанным распределением направляют в финансовый орган администрации муниципального образования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предложения по уточнению такого распределения (с указанием муниципальной программы, ее структурного элемента, направления деятельности, не входящего в муниципальные программы, куратора расходов, к которым необходимо отнести каждый налоговый расход, в отношении которого имеются замечания).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В случае если предложения, указанные в абзаце первом настоящего пункта, предполагают изменение куратора налогового расхода, такие предложения подлежат согласованию с предлагаемым куратором налогового расхода.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В случае если результаты рассмотрения не направлены в финансовый орган администрации муниципального образования в течение срока, указанного в абзаце первом настоящего пункта, проект перечня считается согласованным.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В случае если замечания к отдельным позициям проекта перечня не содержат конкретных предложений по уточнению распределения, указанных в абзаце первом настоящего пункта, проект перечня считается согласованным в отношении соответствующих позиций.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proofErr w:type="gramStart"/>
      <w:r>
        <w:rPr>
          <w:rFonts w:ascii="Times New Roman" w:hAnsi="Times New Roman"/>
          <w:sz w:val="20"/>
          <w:szCs w:val="20"/>
          <w:lang w:eastAsia="ru-RU"/>
        </w:rPr>
        <w:t>Согласование проекта перечня налоговых расходов в части позиций, изложенных идентично перечню налоговых расходов на текущий финансовый год и плановый период, не требуется, за исключением случаев внесения изменений в перечень муниципальных программ, структуру муниципальных программ и (или) изменения полномочий органов, организаций, указанных в пункте 6 настоящего Порядка, затрагивающих соответствующие позиции проекта перечня налоговых расходов.</w:t>
      </w:r>
      <w:proofErr w:type="gramEnd"/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При наличии разногласий по проекту перечня налоговых расходов финансовый орган администрации муниципального образования в срок до 15 апреля текущего финансового года обеспечивает проведение согласительных совещаний с соответствующими органами, организациями.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Разногласия, не урегулированные по результатам совещаний, указанных в абзаце шестом настоящего пункта, в срок до 25 апреля текущего финансового года рассматриваются Главой администрации муниципального образования.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8. 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В срок не позднее 7 рабочих дней после завершения процедур, указанных в пункте 7 настоящего Порядка, перечень налоговых расходов считается сформированным и размещается на официальной сайте администрации муниципального образования  в информационно-телекоммуникационной сети "Интернет".</w:t>
      </w:r>
      <w:proofErr w:type="gramEnd"/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9. 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 xml:space="preserve">В случае внесения в текущем финансовом году изменений в перечень муниципальных программ, структуру муниципальных программ и (или) изменения полномочий органов, организаций, указанных в пункте 6 настоящего Порядка, затрагивающих перечень налоговых расходов, кураторы налоговых расходов </w:t>
      </w:r>
      <w:r>
        <w:rPr>
          <w:rFonts w:ascii="Times New Roman" w:hAnsi="Times New Roman"/>
          <w:sz w:val="20"/>
          <w:szCs w:val="20"/>
          <w:lang w:eastAsia="ru-RU"/>
        </w:rPr>
        <w:lastRenderedPageBreak/>
        <w:t>в срок не позднее 10 рабочих дней с даты соответствующих изменений направляют в финансовый орган администрации муниципального образования соответствующую информацию для уточнения указанного перечня.</w:t>
      </w:r>
      <w:proofErr w:type="gramEnd"/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10. 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Уточненный перечень налоговых расходов формируется в срок до 1 октября текущего финансового года (в случае уточнения структуры муниципальных программ в рамках формирования проекта решения о бюджете муниципального образования на очередной финансовый год и плановый период) и до 15 декабря текущего финансового года (в случае уточнения структуры муниципальных программ в рамках рассмотрения и утверждения проекта решения о бюджете муниципального образования на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очередной финансовый год и плановый период).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11. Реестр налоговых расходов формируется и ведется в порядке, установленном администрацией муниципального образования.</w:t>
      </w:r>
    </w:p>
    <w:p w:rsidR="001C4DD2" w:rsidRDefault="001C4DD2" w:rsidP="001C4DD2">
      <w:pPr>
        <w:shd w:val="clear" w:color="auto" w:fill="FFFFFF"/>
        <w:spacing w:after="0" w:line="225" w:lineRule="atLeast"/>
        <w:jc w:val="center"/>
        <w:outlineLvl w:val="2"/>
        <w:rPr>
          <w:rFonts w:ascii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b/>
          <w:bCs/>
          <w:sz w:val="20"/>
          <w:szCs w:val="20"/>
          <w:lang w:eastAsia="ru-RU"/>
        </w:rPr>
        <w:t>III. Оценка эффективности налоговых расходов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12. Методики оценки эффективности налоговых расходов формируются кураторами соответствующих налоговых расходов и утверждаются ими по согласованию с финансовым органом администрации муниципального образования.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13. В целях оценки эффективности налоговых расходов: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proofErr w:type="gramStart"/>
      <w:r>
        <w:rPr>
          <w:rFonts w:ascii="Times New Roman" w:hAnsi="Times New Roman"/>
          <w:sz w:val="20"/>
          <w:szCs w:val="20"/>
          <w:lang w:eastAsia="ru-RU"/>
        </w:rPr>
        <w:t>финансовым органом администрации муниципального образования ежегодно в срок до 20 июня формирует и направляет кураторам налоговых расходов оценку фактического объема налоговых расходов за отчетный финансовый год, оценку объемов налоговых расходов на текущий финансовый год, очередной финансовый год и плановый период, а также данные о значениях фискальных характеристик за год, предшествующий отчетному финансовому году;</w:t>
      </w:r>
      <w:proofErr w:type="gramEnd"/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кураторы налоговых расходов на основе сформированного и размещенного в соответствии с пунктом 8 настоящего Порядка перечня налоговых расходов и информации, указанной в абзаце втором настоящего пункта, формируют паспорта налоговых расходов и в срок до 15 июля представляют их в финансовый орган администрации муниципального образования.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14. Оценка эффективности налоговых расходов (в том числе нераспределенных) осуществляется кураторами соответствующих налоговых расходов и включает: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оценку целесообразности предоставления налоговых расходов;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оценку результативности налоговых расходов.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15. Критериями целесообразности осуществления налоговых расходов являются: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соответствие налоговых расходов (в том числе нераспределенных) целям и задачам муниципальных программ (их структурных элементов) или иным целям социально-экономической политики муниципального образования (в отношении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непрограммных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налоговых расходов);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proofErr w:type="spellStart"/>
      <w:r>
        <w:rPr>
          <w:rFonts w:ascii="Times New Roman" w:hAnsi="Times New Roman"/>
          <w:sz w:val="20"/>
          <w:szCs w:val="20"/>
          <w:lang w:eastAsia="ru-RU"/>
        </w:rPr>
        <w:t>востребованность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льготы, освобождения или иной преференции.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Невыполнение хотя бы одного из указанных критериев свидетельствует о недостаточной эффективности рассматриваемого налогового расхода. В этом случае куратору налоговых расходов надлежит рекомендовать рассматриваемый налоговый расход к отмене либо сформулировать предложения по совершенствованию механизма ее действия.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16. Оценка результативности производится на основании влияния налогового расхода на результаты реализации соответствующей муниципальной программы (ее структурных элементов) либо достижение целей муниципальной политики, не отнесенных к действующим муниципальным программам, и включает оценку бюджетной эффективности налогового расхода.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17. В качестве критерия результативности определяется не менее одного показателя (индикатора):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муниципальной программы или ее структурных элементов (цели муниципальной политики, не отнесенной к муниципальным программам), на значение, которого оказывает влияние рассматриваемый налоговый расход;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иного показателя (индикатора), непосредственным образом связанного с целями муниципальной программы или ее структурных элементов (целями муниципальной политики, не отнесенными к муниципальным программам).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18. Оценке подлежит вклад соответствующего налогового расхода в изменение значения соответствующего показателя (индикатора) как разница между значением показателя с учетом наличия налогового расхода и без его учета.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19. В целях проведения оценки бюджетной эффективности налоговых расходов осуществляется: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proofErr w:type="gramStart"/>
      <w:r>
        <w:rPr>
          <w:rFonts w:ascii="Times New Roman" w:hAnsi="Times New Roman"/>
          <w:sz w:val="20"/>
          <w:szCs w:val="20"/>
          <w:lang w:eastAsia="ru-RU"/>
        </w:rPr>
        <w:t xml:space="preserve">а) сравнительный анализ результативности налоговых расходов с альтернативными механизмами достижения поставленных целей и задач, включающий сравнение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затратности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альтернативных возможностей с текущим объёмом налоговых расходов, рассчитывается удельный эффект (прирост показателя (индикатора) на 1 рубль налоговых расходов и на 1 рубль бюджетных расходов (для достижения того же эффекта) в случае применения альтернативных механизмов).</w:t>
      </w:r>
      <w:proofErr w:type="gramEnd"/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В целях настоящего пункта в качестве альтернативных механизмов могут учитываться в том числе: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субсидии или иные формы непосредственной финансовой поддержки соответствующих категорий налогоплательщиков за счет средств бюджета 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eastAsia="ru-RU"/>
        </w:rPr>
        <w:t>муниципального образования;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предоставление муниципальных гарантий муниципального образования по обязательствам соответствующих категорий налогоплательщиков;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lastRenderedPageBreak/>
        <w:t>совершенствование нормативного регулирования и (или) порядка осуществления контрольно-надзорных функций в сфере деятельности соответствующих категорий налогоплательщиков;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б) оценка совокупного бюджетного эффекта (самоокупаемости) налоговых расходов (в отношении стимулирующих налоговых расходов).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Оценка совокупного бюджетного эффекта (самоокупаемости) стимулирующих налоговых расходов определяется за период с начала действия налогового расхода или за 5 лет, предшествующих отчетному году, в случае если налоговый расход действует более 6 лет на момент проведения оценки эффективности, по следующей формуле</w:t>
      </w:r>
      <w:hyperlink r:id="rId4" w:anchor="1" w:history="1">
        <w:r>
          <w:rPr>
            <w:rStyle w:val="a4"/>
            <w:rFonts w:ascii="Times New Roman" w:hAnsi="Times New Roman"/>
            <w:color w:val="auto"/>
            <w:sz w:val="20"/>
            <w:szCs w:val="20"/>
            <w:lang w:eastAsia="ru-RU"/>
          </w:rPr>
          <w:t>*(1):</w:t>
        </w:r>
      </w:hyperlink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,</w:t>
      </w:r>
      <w:r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2753995" cy="520700"/>
            <wp:effectExtent l="19050" t="0" r="8255" b="0"/>
            <wp:docPr id="1" name="Рисунок 18" descr="https://www.garant.ru/files/9/9/1221399/pict63-566629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https://www.garant.ru/files/9/9/1221399/pict63-5666296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995" cy="52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  <w:szCs w:val="20"/>
          <w:lang w:eastAsia="ru-RU"/>
        </w:rPr>
        <w:t> ,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где: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223520" cy="223520"/>
            <wp:effectExtent l="19050" t="0" r="5080" b="0"/>
            <wp:docPr id="2" name="Рисунок 19" descr="https://www.garant.ru/files/9/9/1221399/pict64-566629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s://www.garant.ru/files/9/9/1221399/pict64-5666296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  <w:szCs w:val="20"/>
          <w:lang w:eastAsia="ru-RU"/>
        </w:rPr>
        <w:t xml:space="preserve">  - объем налогов, сборов и платежей, задекларированных для уплаты получателями налоговых расходов, в консолидированный бюджет муниципального образования от j-го налогоплательщика - бенефициара налогового расхода в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i-ом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году.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В случае, если налоговый расход действует менее 6 лет на момент проведения оценки эффективности, объем налогов, сборов и платежей, задекларированных для уплаты получателями налоговых расходов, в консолидированный бюджет муниципального образования от налогоплательщиков 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-б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енефициаров налогового расхода в отчетном году, текущем году, очередном году и (или) плановом периоде оценивается (прогнозируется) по данным куратора налогового расхода и финансового органа администрации муниципального образования;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- базовый объем налогов, сборов и платежей, задекларированных для уплаты получателями налоговых расходов, в консолидированный бюджет муниципального образования от j-го налогоплательщика - бенефициара налогового расхода в базовом году, рассчитываемый по формуле: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1477645" cy="276225"/>
            <wp:effectExtent l="19050" t="0" r="8255" b="0"/>
            <wp:docPr id="3" name="Рисунок 20" descr="https://www.garant.ru/files/9/9/1221399/pict65-566629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https://www.garant.ru/files/9/9/1221399/pict65-5666296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64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  <w:szCs w:val="20"/>
          <w:lang w:eastAsia="ru-RU"/>
        </w:rPr>
        <w:t> ,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где: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276225" cy="223520"/>
            <wp:effectExtent l="19050" t="0" r="9525" b="0"/>
            <wp:docPr id="4" name="Рисунок 21" descr="https://www.garant.ru/files/9/9/1221399/pict66-566629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https://www.garant.ru/files/9/9/1221399/pict66-5666296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2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  <w:szCs w:val="20"/>
          <w:lang w:eastAsia="ru-RU"/>
        </w:rPr>
        <w:t> - объем налогов, сборов и платежей, задекларированных для уплаты получателями налоговых расходов, в консолидированный бюджет муниципального образования от j-го налогоплательщика - бенефициара налогового расхода в базовом году;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233680" cy="223520"/>
            <wp:effectExtent l="19050" t="0" r="0" b="0"/>
            <wp:docPr id="5" name="Рисунок 22" descr="https://www.garant.ru/files/9/9/1221399/pict67-566629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https://www.garant.ru/files/9/9/1221399/pict67-5666296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" cy="22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  <w:szCs w:val="20"/>
          <w:lang w:eastAsia="ru-RU"/>
        </w:rPr>
        <w:t> - объем налоговых расходов по соответствующему налогу (иному платежу) в пользу j-го налогоплательщика - бенефициара налогового расхода в базовом году.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Под базовым годом понимается год, предшествующий году начала осуществления налогового расхода в пользу j-го налогоплательщика 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-б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енефициара налогового расхода, либо шестой год, предшествующий отчетному году в случае, если налоговый расход осуществляется в пользу налогоплательщика-бенефициара налогового расхода более 6 лет;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proofErr w:type="gramStart"/>
      <w:r>
        <w:rPr>
          <w:rFonts w:ascii="Times New Roman" w:hAnsi="Times New Roman"/>
          <w:sz w:val="20"/>
          <w:szCs w:val="20"/>
          <w:lang w:eastAsia="ru-RU"/>
        </w:rPr>
        <w:t xml:space="preserve">- номинальный темп прироста налоговых доходов консолидированного бюджета муниципального образования в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i-ом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году по отношению к базовому году, определяемый исходя из реального темпа роста валового внутреннего продукта согласно прогнозу социально-экономического развития муниципального образования на очередной финансовый год и плановый период, заложенному в основу решения о бюджете муниципального образования на очередной финансовый год и плановый период, а также целевого уровня инфляции, определяемого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Центральным банком Российской Федерации на среднесрочную перспективу (4 процента);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 - количество налогоплательщиков-бенефициаров налогового расхода в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i-ом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году;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 - расчетная стоимость среднесрочных рыночных заимствований муниципального образования, принимаемая на уровне 7,5 процентов.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Куратор налогового расхода в рамках методики оценки эффективности налогового расхода вправе предусматривать дополнительные критерии оценки бюджетной эффективности налогового расхода.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20. По итогам оценки результативности формируется заключение: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о значимости вклада налоговых расходов в достижение соответствующих показателей (индикаторов);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о наличии (отсутствии) более результативных (менее затратных) альтернативных механизмов достижения поставленных целей и задач.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21. По результатам оценки эффективности соответствующих налоговых расходов куратор налогового расхода формулирует общий вывод о степени их эффективности и рекомендации о целесообразности их дальнейшего осуществления.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Используемые исходные данные, результаты оценки эффективности налоговых расходов и рекомендации по результатам такой оценки представляются ежегодно кураторами налоговых расходов в финансовый орган администрации муниципального образования в срок до 10 августа текущего финансового года.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22. Результаты оценки налоговых расходов учитываются при оценке эффективности муниципальных программ в соответствии с Порядком разработки, реализации и оценки эффективности муниципальных </w:t>
      </w:r>
      <w:r>
        <w:rPr>
          <w:rFonts w:ascii="Times New Roman" w:hAnsi="Times New Roman"/>
          <w:sz w:val="20"/>
          <w:szCs w:val="20"/>
          <w:lang w:eastAsia="ru-RU"/>
        </w:rPr>
        <w:lastRenderedPageBreak/>
        <w:t>программ муниципального образования, утвержденным постановлением администрации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eastAsia="ru-RU"/>
        </w:rPr>
        <w:t>муниципального образования.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23. Финансовый  орган администрации муниципального образования обобщает результаты оценки и рекомендации по результатам оценки налоговых расходов.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Результаты указанной оценки учитываются при формировании основных направлений бюджетной, налоговой политики муниципального образования в части целесообразности сохранения (уточнения, отмены) соответствующих налоговых расходов в очередном финансовом году и плановом периоде.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1C4DD2" w:rsidRDefault="001C4DD2" w:rsidP="001C4DD2">
      <w:pPr>
        <w:pStyle w:val="a3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lastRenderedPageBreak/>
        <w:t>Приложение №2</w:t>
      </w:r>
    </w:p>
    <w:p w:rsidR="001C4DD2" w:rsidRDefault="001C4DD2" w:rsidP="001C4DD2">
      <w:pPr>
        <w:pStyle w:val="a3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к Порядку формирования перечня</w:t>
      </w:r>
      <w:r>
        <w:rPr>
          <w:rFonts w:ascii="Times New Roman" w:hAnsi="Times New Roman"/>
          <w:sz w:val="20"/>
          <w:szCs w:val="20"/>
          <w:lang w:eastAsia="ru-RU"/>
        </w:rPr>
        <w:br/>
        <w:t xml:space="preserve">налоговых расходов  </w:t>
      </w:r>
      <w:r>
        <w:rPr>
          <w:rFonts w:ascii="Times New Roman" w:hAnsi="Times New Roman"/>
          <w:sz w:val="20"/>
          <w:szCs w:val="20"/>
        </w:rPr>
        <w:t>поселения</w:t>
      </w:r>
      <w:r>
        <w:rPr>
          <w:rFonts w:ascii="Times New Roman" w:hAnsi="Times New Roman"/>
          <w:sz w:val="20"/>
          <w:szCs w:val="20"/>
          <w:lang w:eastAsia="ru-RU"/>
        </w:rPr>
        <w:br/>
        <w:t xml:space="preserve">и оценки налоговых расходов </w:t>
      </w:r>
      <w:r>
        <w:rPr>
          <w:rFonts w:ascii="Times New Roman" w:hAnsi="Times New Roman"/>
          <w:sz w:val="20"/>
          <w:szCs w:val="20"/>
        </w:rPr>
        <w:t>поселения</w:t>
      </w:r>
    </w:p>
    <w:p w:rsidR="001C4DD2" w:rsidRDefault="001C4DD2" w:rsidP="001C4DD2">
      <w:pPr>
        <w:shd w:val="clear" w:color="auto" w:fill="FFFFFF"/>
        <w:spacing w:after="0" w:line="225" w:lineRule="atLeast"/>
        <w:jc w:val="center"/>
        <w:outlineLvl w:val="2"/>
        <w:rPr>
          <w:rFonts w:ascii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b/>
          <w:bCs/>
          <w:sz w:val="20"/>
          <w:szCs w:val="20"/>
          <w:lang w:eastAsia="ru-RU"/>
        </w:rPr>
        <w:t>Перечень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br/>
        <w:t xml:space="preserve">информации, включаемой в паспорт налогового расхода </w:t>
      </w:r>
      <w:r>
        <w:rPr>
          <w:rFonts w:ascii="Times New Roman" w:hAnsi="Times New Roman"/>
          <w:sz w:val="20"/>
          <w:szCs w:val="20"/>
          <w:lang w:eastAsia="ru-RU"/>
        </w:rPr>
        <w:t>муниципального образования</w:t>
      </w:r>
    </w:p>
    <w:tbl>
      <w:tblPr>
        <w:tblW w:w="0" w:type="auto"/>
        <w:tblLook w:val="00A0"/>
      </w:tblPr>
      <w:tblGrid>
        <w:gridCol w:w="280"/>
        <w:gridCol w:w="6696"/>
        <w:gridCol w:w="2409"/>
      </w:tblGrid>
      <w:tr w:rsidR="001C4DD2" w:rsidTr="001C4DD2"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Наименование характеристики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Источник данных</w:t>
            </w:r>
          </w:p>
        </w:tc>
      </w:tr>
      <w:tr w:rsidR="001C4DD2" w:rsidTr="001C4DD2"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I. Нормативные характеристики налогового расхода поселения (далее - налоговый расход)</w:t>
            </w:r>
          </w:p>
        </w:tc>
      </w:tr>
      <w:tr w:rsidR="001C4DD2" w:rsidTr="001C4DD2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налога, сбора, платежа, по которому предусматривается налоговый расход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перечень налоговых расходов</w:t>
            </w:r>
          </w:p>
        </w:tc>
      </w:tr>
      <w:tr w:rsidR="001C4DD2" w:rsidTr="001C4DD2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налогового расхода (содержание льготы, освобождения или иной преференции)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перечень налоговых расходов</w:t>
            </w:r>
          </w:p>
        </w:tc>
      </w:tr>
      <w:tr w:rsidR="001C4DD2" w:rsidTr="001C4DD2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Ссылка на положение (статья, часть, пункт, подпункт, абзац) федерального закона, иного нормативного правового акта, устанавливающее налоговый расход</w:t>
            </w:r>
            <w:proofErr w:type="gram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перечень налоговых расходов</w:t>
            </w:r>
          </w:p>
        </w:tc>
      </w:tr>
      <w:tr w:rsidR="001C4DD2" w:rsidTr="001C4DD2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Категории получателей налогового расхода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перечень налоговых расходов</w:t>
            </w:r>
          </w:p>
        </w:tc>
      </w:tr>
      <w:tr w:rsidR="001C4DD2" w:rsidTr="001C4DD2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Условия предоставления налогового расхода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перечень налоговых расходов</w:t>
            </w:r>
          </w:p>
        </w:tc>
      </w:tr>
      <w:tr w:rsidR="001C4DD2" w:rsidTr="001C4DD2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Целевая категория налогового расхода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данные куратора налогового расхода (далее - куратор)</w:t>
            </w:r>
          </w:p>
        </w:tc>
      </w:tr>
      <w:tr w:rsidR="001C4DD2" w:rsidTr="001C4DD2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Дата начала действия налогового расхода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перечень налоговых расходов</w:t>
            </w:r>
          </w:p>
        </w:tc>
      </w:tr>
      <w:tr w:rsidR="001C4DD2" w:rsidTr="001C4DD2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Дата прекращения действия налогового расхода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перечень налоговых расходов</w:t>
            </w:r>
          </w:p>
        </w:tc>
      </w:tr>
      <w:tr w:rsidR="001C4DD2" w:rsidTr="001C4DD2"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II. Целевые характеристики налогового расхода</w:t>
            </w:r>
          </w:p>
        </w:tc>
      </w:tr>
      <w:tr w:rsidR="001C4DD2" w:rsidTr="001C4DD2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Цели предоставления налогового расхода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данные куратора</w:t>
            </w:r>
          </w:p>
        </w:tc>
      </w:tr>
      <w:tr w:rsidR="001C4DD2" w:rsidTr="001C4DD2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муниципальной программы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непрограммного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направления деятельности), в рамках которой реализуются цели предоставления налогового расхода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перечень налоговых расходов</w:t>
            </w:r>
          </w:p>
        </w:tc>
      </w:tr>
      <w:tr w:rsidR="001C4DD2" w:rsidTr="001C4DD2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Наименования структурных элементов муниципальной программы, в рамках которых реализуются цели предоставления налогового расхода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перечень налоговых расходов</w:t>
            </w:r>
          </w:p>
        </w:tc>
      </w:tr>
      <w:tr w:rsidR="001C4DD2" w:rsidTr="001C4DD2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Показатели (индикаторы) достижения целей предоставления налогового расхода, в том числе показатели муниципальной программы и ее структурных элементов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данные куратора</w:t>
            </w:r>
          </w:p>
        </w:tc>
      </w:tr>
      <w:tr w:rsidR="001C4DD2" w:rsidTr="001C4DD2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Фактические значения показателей (индикаторов) достижения целей предоставления налогового расхода, в том числе показателей муниципальной программы и ее структурных элементов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данные куратора</w:t>
            </w:r>
          </w:p>
        </w:tc>
      </w:tr>
      <w:tr w:rsidR="001C4DD2" w:rsidTr="001C4DD2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Прогнозные (оценочные) значения показателей (индикаторов) достижения целей предоставления налогового расхода, в том числе показателей муниципальной программы и ее структурных элементов, на текущий финансовый год, очередной финансовый год и плановый период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данные куратора</w:t>
            </w:r>
          </w:p>
        </w:tc>
      </w:tr>
      <w:tr w:rsidR="001C4DD2" w:rsidTr="001C4DD2"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III. Фискальные характеристики налогового расхода</w:t>
            </w:r>
          </w:p>
        </w:tc>
      </w:tr>
      <w:tr w:rsidR="001C4DD2" w:rsidTr="001C4DD2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Фактический объем налогового расхода за год, предшествующий отчетному финансовому году (тыс. рублей)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данные главного администратора доходов, финансового органа </w:t>
            </w:r>
            <w:hyperlink r:id="rId10" w:anchor="2" w:history="1">
              <w:r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  <w:lang w:eastAsia="ru-RU"/>
                </w:rPr>
                <w:t>*(2)</w:t>
              </w:r>
            </w:hyperlink>
          </w:p>
        </w:tc>
      </w:tr>
      <w:tr w:rsidR="001C4DD2" w:rsidTr="001C4DD2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Оценка фактического объема налогового расхода за отчетный финансовый год, оценка объема налогового расхода на текущий финансовый год, очередной финансовый год и плановый период (тыс. рублей)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данные финансового органа </w:t>
            </w:r>
          </w:p>
        </w:tc>
      </w:tr>
      <w:tr w:rsidR="001C4DD2" w:rsidTr="001C4DD2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Фактическая численность получателей налогового расхода в году, предшествующем отчетному финансовому году (единиц)</w:t>
            </w:r>
            <w:hyperlink r:id="rId11" w:anchor="3" w:history="1">
              <w:r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  <w:lang w:eastAsia="ru-RU"/>
                </w:rPr>
                <w:t>*(3)</w:t>
              </w:r>
            </w:hyperlink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данные главного администратора доходов</w:t>
            </w:r>
          </w:p>
        </w:tc>
      </w:tr>
      <w:tr w:rsidR="001C4DD2" w:rsidTr="001C4DD2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Фактическая численность плательщиков налога, сбора и платежа, по которому предусматривается налоговый расход, в году, предшествующем отчетному финансовому году (единиц)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данные главного администратора доходов</w:t>
            </w:r>
          </w:p>
        </w:tc>
      </w:tr>
      <w:tr w:rsidR="001C4DD2" w:rsidTr="001C4DD2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Базовый объем налогов, сборов и платежа, задекларированных для уплаты получателями налоговых расходов, в бюджет поселения по видам налогов, сборов и платежа за шесть лет, предшествующих отчетному финансовому году (тыс. рублей)2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данные главного администратора доходов</w:t>
            </w:r>
          </w:p>
        </w:tc>
      </w:tr>
      <w:tr w:rsidR="001C4DD2" w:rsidTr="001C4DD2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Объем налогов, сборов и платежа, задекларированных для уплаты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получателями соответствующего налогового расхода за шесть лет, предшествующих отчетному финансовому году (тыс. рублей)2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DD2" w:rsidRDefault="001C4D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данные главного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администратора доходов</w:t>
            </w:r>
          </w:p>
        </w:tc>
      </w:tr>
    </w:tbl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lastRenderedPageBreak/>
        <w:t>-------------------------------------------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*(1) расчет по приведенной формуле осуществляется в отношении налоговых расходов, перечень которых определяется финансовым органом.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*(2) В случаях и порядке, предусмотренных пунктом 11 Порядка формирования перечня налоговых расходов муниципального образования и оценки налоговых расходов муниципального образования.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*(3) Информация подлежит формированию и представлению в отношении налоговых расходов, перечень которых определяется финансовым органом.</w:t>
      </w:r>
    </w:p>
    <w:p w:rsidR="001C4DD2" w:rsidRDefault="001C4DD2" w:rsidP="001C4DD2">
      <w:pPr>
        <w:shd w:val="clear" w:color="auto" w:fill="FFFFFF"/>
        <w:spacing w:after="0" w:line="22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C4DD2" w:rsidRDefault="001C4DD2" w:rsidP="001C4DD2">
      <w:pPr>
        <w:shd w:val="clear" w:color="auto" w:fill="FFFFFF"/>
        <w:spacing w:after="213" w:line="22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C4DD2" w:rsidRDefault="001C4DD2" w:rsidP="001C4DD2">
      <w:pPr>
        <w:shd w:val="clear" w:color="auto" w:fill="FFFFFF"/>
        <w:spacing w:after="213" w:line="22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C4DD2" w:rsidRDefault="001C4DD2" w:rsidP="001C4DD2">
      <w:pPr>
        <w:shd w:val="clear" w:color="auto" w:fill="FFFFFF"/>
        <w:spacing w:after="213" w:line="22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C4DD2" w:rsidRDefault="001C4DD2" w:rsidP="001C4DD2">
      <w:pPr>
        <w:shd w:val="clear" w:color="auto" w:fill="FFFFFF"/>
        <w:spacing w:after="213" w:line="22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C4DD2" w:rsidRDefault="001C4DD2" w:rsidP="001C4DD2">
      <w:pPr>
        <w:shd w:val="clear" w:color="auto" w:fill="FFFFFF"/>
        <w:spacing w:after="213" w:line="22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C4DD2" w:rsidRDefault="001C4DD2" w:rsidP="001C4DD2">
      <w:pPr>
        <w:shd w:val="clear" w:color="auto" w:fill="FFFFFF"/>
        <w:spacing w:after="213" w:line="22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C4DD2" w:rsidRDefault="001C4DD2" w:rsidP="001C4DD2">
      <w:pPr>
        <w:shd w:val="clear" w:color="auto" w:fill="FFFFFF"/>
        <w:spacing w:after="213" w:line="22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C4DD2" w:rsidRDefault="001C4DD2" w:rsidP="001C4DD2">
      <w:pPr>
        <w:shd w:val="clear" w:color="auto" w:fill="FFFFFF"/>
        <w:spacing w:after="213" w:line="22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C4DD2" w:rsidRDefault="001C4DD2" w:rsidP="001C4DD2">
      <w:pPr>
        <w:shd w:val="clear" w:color="auto" w:fill="FFFFFF"/>
        <w:spacing w:after="213" w:line="225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74B41" w:rsidRDefault="00574B41"/>
    <w:sectPr w:rsidR="00574B41" w:rsidSect="00574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C4DD2"/>
    <w:rsid w:val="001C4DD2"/>
    <w:rsid w:val="00574B41"/>
    <w:rsid w:val="00B31D66"/>
    <w:rsid w:val="00C36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D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C4DD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">
    <w:name w:val="ConsPlusNormal Знак"/>
    <w:link w:val="ConsPlusNormal0"/>
    <w:uiPriority w:val="99"/>
    <w:locked/>
    <w:rsid w:val="001C4DD2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1C4D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character" w:styleId="a4">
    <w:name w:val="Hyperlink"/>
    <w:basedOn w:val="a0"/>
    <w:uiPriority w:val="99"/>
    <w:semiHidden/>
    <w:unhideWhenUsed/>
    <w:rsid w:val="001C4DD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C4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4DD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www.garant.ru/products/ipo/prime/doc/56662964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www.garant.ru/products/ipo/prime/doc/56662964/" TargetMode="External"/><Relationship Id="rId4" Type="http://schemas.openxmlformats.org/officeDocument/2006/relationships/hyperlink" Target="https://www.garant.ru/products/ipo/prime/doc/56662964/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3698</Words>
  <Characters>21081</Characters>
  <Application>Microsoft Office Word</Application>
  <DocSecurity>0</DocSecurity>
  <Lines>175</Lines>
  <Paragraphs>49</Paragraphs>
  <ScaleCrop>false</ScaleCrop>
  <Company>XTreme.ws</Company>
  <LinksUpToDate>false</LinksUpToDate>
  <CharactersWithSpaces>24730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5</cp:revision>
  <dcterms:created xsi:type="dcterms:W3CDTF">2023-01-09T13:23:00Z</dcterms:created>
  <dcterms:modified xsi:type="dcterms:W3CDTF">2024-10-29T11:05:00Z</dcterms:modified>
</cp:coreProperties>
</file>