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F64" w:rsidRDefault="008C0753" w:rsidP="00E42F64">
      <w:pPr>
        <w:shd w:val="clear" w:color="auto" w:fill="FFFFFF"/>
        <w:spacing w:after="0" w:line="240" w:lineRule="auto"/>
        <w:textAlignment w:val="baseline"/>
        <w:rPr>
          <w:rFonts w:ascii="Arial" w:eastAsia="Times New Roman" w:hAnsi="Arial" w:cs="Arial"/>
          <w:b/>
          <w:bCs/>
          <w:color w:val="140111"/>
          <w:sz w:val="29"/>
          <w:szCs w:val="29"/>
          <w:bdr w:val="none" w:sz="0" w:space="0" w:color="auto" w:frame="1"/>
          <w:lang w:eastAsia="ru-RU"/>
        </w:rPr>
      </w:pPr>
      <w:r>
        <w:rPr>
          <w:rFonts w:ascii="Arial" w:eastAsia="Times New Roman" w:hAnsi="Arial" w:cs="Arial"/>
          <w:b/>
          <w:bCs/>
          <w:color w:val="140111"/>
          <w:sz w:val="29"/>
          <w:szCs w:val="29"/>
          <w:bdr w:val="none" w:sz="0" w:space="0" w:color="auto" w:frame="1"/>
          <w:lang w:eastAsia="ru-RU"/>
        </w:rPr>
        <w:t>Ф</w:t>
      </w:r>
      <w:r w:rsidR="00E42F64" w:rsidRPr="00E42F64">
        <w:rPr>
          <w:rFonts w:ascii="Arial" w:eastAsia="Times New Roman" w:hAnsi="Arial" w:cs="Arial"/>
          <w:b/>
          <w:bCs/>
          <w:color w:val="140111"/>
          <w:sz w:val="29"/>
          <w:szCs w:val="29"/>
          <w:bdr w:val="none" w:sz="0" w:space="0" w:color="auto" w:frame="1"/>
          <w:lang w:eastAsia="ru-RU"/>
        </w:rPr>
        <w:t>акторы, влияющие на</w:t>
      </w:r>
      <w:r>
        <w:rPr>
          <w:rFonts w:ascii="Arial" w:eastAsia="Times New Roman" w:hAnsi="Arial" w:cs="Arial"/>
          <w:b/>
          <w:bCs/>
          <w:color w:val="140111"/>
          <w:sz w:val="29"/>
          <w:szCs w:val="29"/>
          <w:bdr w:val="none" w:sz="0" w:space="0" w:color="auto" w:frame="1"/>
          <w:lang w:eastAsia="ru-RU"/>
        </w:rPr>
        <w:t xml:space="preserve"> объем документов в организации</w:t>
      </w:r>
    </w:p>
    <w:p w:rsidR="008C0753" w:rsidRPr="00E42F64" w:rsidRDefault="008C0753" w:rsidP="00E42F64">
      <w:pPr>
        <w:shd w:val="clear" w:color="auto" w:fill="FFFFFF"/>
        <w:spacing w:after="0" w:line="240" w:lineRule="auto"/>
        <w:textAlignment w:val="baseline"/>
        <w:rPr>
          <w:rFonts w:ascii="Arial" w:eastAsia="Times New Roman" w:hAnsi="Arial" w:cs="Arial"/>
          <w:color w:val="140111"/>
          <w:sz w:val="29"/>
          <w:szCs w:val="29"/>
          <w:lang w:eastAsia="ru-RU"/>
        </w:rPr>
      </w:pPr>
    </w:p>
    <w:p w:rsidR="00E42F64" w:rsidRDefault="00E42F64" w:rsidP="00E42F64">
      <w:pPr>
        <w:numPr>
          <w:ilvl w:val="0"/>
          <w:numId w:val="1"/>
        </w:numPr>
        <w:shd w:val="clear" w:color="auto" w:fill="FFFFFF"/>
        <w:spacing w:after="0" w:line="240" w:lineRule="auto"/>
        <w:ind w:left="480"/>
        <w:textAlignment w:val="baseline"/>
        <w:rPr>
          <w:rFonts w:ascii="Arial" w:eastAsia="Times New Roman" w:hAnsi="Arial" w:cs="Arial"/>
          <w:color w:val="140111"/>
          <w:sz w:val="29"/>
          <w:szCs w:val="29"/>
          <w:lang w:eastAsia="ru-RU"/>
        </w:rPr>
      </w:pPr>
      <w:r w:rsidRPr="00E42F64">
        <w:rPr>
          <w:rFonts w:ascii="Arial" w:eastAsia="Times New Roman" w:hAnsi="Arial" w:cs="Arial"/>
          <w:b/>
          <w:bCs/>
          <w:color w:val="140111"/>
          <w:sz w:val="29"/>
          <w:szCs w:val="29"/>
          <w:bdr w:val="none" w:sz="0" w:space="0" w:color="auto" w:frame="1"/>
          <w:lang w:eastAsia="ru-RU"/>
        </w:rPr>
        <w:t>Организационно-правовая форма НКО</w:t>
      </w:r>
      <w:r w:rsidRPr="00E42F64">
        <w:rPr>
          <w:rFonts w:ascii="Arial" w:eastAsia="Times New Roman" w:hAnsi="Arial" w:cs="Arial"/>
          <w:color w:val="140111"/>
          <w:sz w:val="29"/>
          <w:szCs w:val="29"/>
          <w:lang w:eastAsia="ru-RU"/>
        </w:rPr>
        <w:t> (автономная некоммерческая организация, общественная организация, благотворительный фонд и т.д.). Например, ассоциации и союзы, а также общественные организации являются корпоративными НКО, где есть члены, а это в свою очередь требует дополнительного документационного обеспечения: положения о членстве, заявлений членов, реестр членов и пр.</w:t>
      </w:r>
    </w:p>
    <w:p w:rsidR="008C0753" w:rsidRPr="00E42F64" w:rsidRDefault="008C0753" w:rsidP="008C0753">
      <w:pPr>
        <w:shd w:val="clear" w:color="auto" w:fill="FFFFFF"/>
        <w:spacing w:after="0" w:line="240" w:lineRule="auto"/>
        <w:ind w:left="480"/>
        <w:textAlignment w:val="baseline"/>
        <w:rPr>
          <w:rFonts w:ascii="Arial" w:eastAsia="Times New Roman" w:hAnsi="Arial" w:cs="Arial"/>
          <w:color w:val="140111"/>
          <w:sz w:val="29"/>
          <w:szCs w:val="29"/>
          <w:lang w:eastAsia="ru-RU"/>
        </w:rPr>
      </w:pPr>
    </w:p>
    <w:p w:rsidR="00E42F64" w:rsidRDefault="00E42F64" w:rsidP="00E42F64">
      <w:pPr>
        <w:numPr>
          <w:ilvl w:val="0"/>
          <w:numId w:val="1"/>
        </w:numPr>
        <w:shd w:val="clear" w:color="auto" w:fill="FFFFFF"/>
        <w:spacing w:after="0" w:line="240" w:lineRule="auto"/>
        <w:ind w:left="480"/>
        <w:textAlignment w:val="baseline"/>
        <w:rPr>
          <w:rFonts w:ascii="Arial" w:eastAsia="Times New Roman" w:hAnsi="Arial" w:cs="Arial"/>
          <w:color w:val="140111"/>
          <w:sz w:val="29"/>
          <w:szCs w:val="29"/>
          <w:lang w:eastAsia="ru-RU"/>
        </w:rPr>
      </w:pPr>
      <w:r w:rsidRPr="00E42F64">
        <w:rPr>
          <w:rFonts w:ascii="Arial" w:eastAsia="Times New Roman" w:hAnsi="Arial" w:cs="Arial"/>
          <w:b/>
          <w:bCs/>
          <w:color w:val="140111"/>
          <w:sz w:val="29"/>
          <w:szCs w:val="29"/>
          <w:bdr w:val="none" w:sz="0" w:space="0" w:color="auto" w:frame="1"/>
          <w:lang w:eastAsia="ru-RU"/>
        </w:rPr>
        <w:t>Особенности структуры органов управления.</w:t>
      </w:r>
      <w:r w:rsidRPr="00E42F64">
        <w:rPr>
          <w:rFonts w:ascii="Arial" w:eastAsia="Times New Roman" w:hAnsi="Arial" w:cs="Arial"/>
          <w:color w:val="140111"/>
          <w:sz w:val="29"/>
          <w:szCs w:val="29"/>
          <w:lang w:eastAsia="ru-RU"/>
        </w:rPr>
        <w:t>  В данном случае важно знать свой устав, так как именно в нем закреплена структура управления каждой НКО: какие существуют органы управления, с какой компетенций, как часто созываются заседания и пр. Решения соответствующих органов оформляется протоколами и решениями. Например, если в уставе упоминается попечительский или наблюдательный совет, значит должны быть протоколы заседаний данного органа. Если у вас есть ревизор или ревизионная комиссия – не забывайте, что должны быть соответствующие решения данного контрольного органа.</w:t>
      </w:r>
    </w:p>
    <w:p w:rsidR="008C0753" w:rsidRPr="00E42F64" w:rsidRDefault="008C0753" w:rsidP="008C0753">
      <w:pPr>
        <w:shd w:val="clear" w:color="auto" w:fill="FFFFFF"/>
        <w:spacing w:after="0" w:line="240" w:lineRule="auto"/>
        <w:textAlignment w:val="baseline"/>
        <w:rPr>
          <w:rFonts w:ascii="Arial" w:eastAsia="Times New Roman" w:hAnsi="Arial" w:cs="Arial"/>
          <w:color w:val="140111"/>
          <w:sz w:val="29"/>
          <w:szCs w:val="29"/>
          <w:lang w:eastAsia="ru-RU"/>
        </w:rPr>
      </w:pPr>
    </w:p>
    <w:p w:rsidR="00E42F64" w:rsidRDefault="00E42F64" w:rsidP="00E42F64">
      <w:pPr>
        <w:numPr>
          <w:ilvl w:val="0"/>
          <w:numId w:val="1"/>
        </w:numPr>
        <w:shd w:val="clear" w:color="auto" w:fill="FFFFFF"/>
        <w:spacing w:after="0" w:line="240" w:lineRule="auto"/>
        <w:ind w:left="480"/>
        <w:textAlignment w:val="baseline"/>
        <w:rPr>
          <w:rFonts w:ascii="Arial" w:eastAsia="Times New Roman" w:hAnsi="Arial" w:cs="Arial"/>
          <w:color w:val="140111"/>
          <w:sz w:val="29"/>
          <w:szCs w:val="29"/>
          <w:lang w:eastAsia="ru-RU"/>
        </w:rPr>
      </w:pPr>
      <w:r w:rsidRPr="00E42F64">
        <w:rPr>
          <w:rFonts w:ascii="Arial" w:eastAsia="Times New Roman" w:hAnsi="Arial" w:cs="Arial"/>
          <w:b/>
          <w:bCs/>
          <w:color w:val="140111"/>
          <w:sz w:val="29"/>
          <w:szCs w:val="29"/>
          <w:bdr w:val="none" w:sz="0" w:space="0" w:color="auto" w:frame="1"/>
          <w:lang w:eastAsia="ru-RU"/>
        </w:rPr>
        <w:t>Источники финансирования. </w:t>
      </w:r>
      <w:r w:rsidRPr="00E42F64">
        <w:rPr>
          <w:rFonts w:ascii="Arial" w:eastAsia="Times New Roman" w:hAnsi="Arial" w:cs="Arial"/>
          <w:color w:val="140111"/>
          <w:sz w:val="29"/>
          <w:szCs w:val="29"/>
          <w:lang w:eastAsia="ru-RU"/>
        </w:rPr>
        <w:t xml:space="preserve">Разнообразие источников финансирования в НКО влечет за собой и разнообразие </w:t>
      </w:r>
      <w:proofErr w:type="spellStart"/>
      <w:proofErr w:type="gramStart"/>
      <w:r w:rsidRPr="00E42F64">
        <w:rPr>
          <w:rFonts w:ascii="Arial" w:eastAsia="Times New Roman" w:hAnsi="Arial" w:cs="Arial"/>
          <w:color w:val="140111"/>
          <w:sz w:val="29"/>
          <w:szCs w:val="29"/>
          <w:lang w:eastAsia="ru-RU"/>
        </w:rPr>
        <w:t>документов.Так</w:t>
      </w:r>
      <w:proofErr w:type="spellEnd"/>
      <w:proofErr w:type="gramEnd"/>
      <w:r w:rsidRPr="00E42F64">
        <w:rPr>
          <w:rFonts w:ascii="Arial" w:eastAsia="Times New Roman" w:hAnsi="Arial" w:cs="Arial"/>
          <w:color w:val="140111"/>
          <w:sz w:val="29"/>
          <w:szCs w:val="29"/>
          <w:lang w:eastAsia="ru-RU"/>
        </w:rPr>
        <w:t>, бюджетные средства (гранты, субсидии), а также гранты от частных фондов требуют соответствующей финансовой и содержательной отчетности, документов, подтверждающих целевое использование денежных средств.</w:t>
      </w:r>
    </w:p>
    <w:p w:rsidR="008C0753" w:rsidRPr="00E42F64" w:rsidRDefault="008C0753" w:rsidP="008C0753">
      <w:pPr>
        <w:shd w:val="clear" w:color="auto" w:fill="FFFFFF"/>
        <w:spacing w:after="0" w:line="240" w:lineRule="auto"/>
        <w:textAlignment w:val="baseline"/>
        <w:rPr>
          <w:rFonts w:ascii="Arial" w:eastAsia="Times New Roman" w:hAnsi="Arial" w:cs="Arial"/>
          <w:color w:val="140111"/>
          <w:sz w:val="29"/>
          <w:szCs w:val="29"/>
          <w:lang w:eastAsia="ru-RU"/>
        </w:rPr>
      </w:pPr>
    </w:p>
    <w:p w:rsidR="00E42F64" w:rsidRDefault="00E42F64" w:rsidP="00E42F64">
      <w:pPr>
        <w:numPr>
          <w:ilvl w:val="0"/>
          <w:numId w:val="1"/>
        </w:numPr>
        <w:shd w:val="clear" w:color="auto" w:fill="FFFFFF"/>
        <w:spacing w:after="0" w:line="240" w:lineRule="auto"/>
        <w:ind w:left="480"/>
        <w:textAlignment w:val="baseline"/>
        <w:rPr>
          <w:rFonts w:ascii="Arial" w:eastAsia="Times New Roman" w:hAnsi="Arial" w:cs="Arial"/>
          <w:color w:val="140111"/>
          <w:sz w:val="29"/>
          <w:szCs w:val="29"/>
          <w:lang w:eastAsia="ru-RU"/>
        </w:rPr>
      </w:pPr>
      <w:r w:rsidRPr="00E42F64">
        <w:rPr>
          <w:rFonts w:ascii="Arial" w:eastAsia="Times New Roman" w:hAnsi="Arial" w:cs="Arial"/>
          <w:b/>
          <w:bCs/>
          <w:color w:val="140111"/>
          <w:sz w:val="29"/>
          <w:szCs w:val="29"/>
          <w:bdr w:val="none" w:sz="0" w:space="0" w:color="auto" w:frame="1"/>
          <w:lang w:eastAsia="ru-RU"/>
        </w:rPr>
        <w:t>Характер деятельности</w:t>
      </w:r>
      <w:r w:rsidRPr="00E42F64">
        <w:rPr>
          <w:rFonts w:ascii="Arial" w:eastAsia="Times New Roman" w:hAnsi="Arial" w:cs="Arial"/>
          <w:color w:val="140111"/>
          <w:sz w:val="29"/>
          <w:szCs w:val="29"/>
          <w:lang w:eastAsia="ru-RU"/>
        </w:rPr>
        <w:t> (направления работы и фактические виды деятельности) также является дополнительной надстройкой, влияющей на объем документов в НКО. Например, если ваша организация благотворительная – включаются требования Федерального закона от 11.08.1995 N 135-ФЗ «О благотворительной деятельности и добровольчестве (</w:t>
      </w:r>
      <w:proofErr w:type="spellStart"/>
      <w:r w:rsidRPr="00E42F64">
        <w:rPr>
          <w:rFonts w:ascii="Arial" w:eastAsia="Times New Roman" w:hAnsi="Arial" w:cs="Arial"/>
          <w:color w:val="140111"/>
          <w:sz w:val="29"/>
          <w:szCs w:val="29"/>
          <w:lang w:eastAsia="ru-RU"/>
        </w:rPr>
        <w:t>волонтерстве</w:t>
      </w:r>
      <w:proofErr w:type="spellEnd"/>
      <w:r w:rsidRPr="00E42F64">
        <w:rPr>
          <w:rFonts w:ascii="Arial" w:eastAsia="Times New Roman" w:hAnsi="Arial" w:cs="Arial"/>
          <w:color w:val="140111"/>
          <w:sz w:val="29"/>
          <w:szCs w:val="29"/>
          <w:lang w:eastAsia="ru-RU"/>
        </w:rPr>
        <w:t>)» – необходимо иметь благотворительную программу, правильно оформлять поступления и расходования благотворительных средств, сдавать дополнительную отчетность.</w:t>
      </w:r>
    </w:p>
    <w:p w:rsidR="008C0753" w:rsidRPr="00E42F64" w:rsidRDefault="008C0753" w:rsidP="008C0753">
      <w:pPr>
        <w:shd w:val="clear" w:color="auto" w:fill="FFFFFF"/>
        <w:spacing w:after="0" w:line="240" w:lineRule="auto"/>
        <w:textAlignment w:val="baseline"/>
        <w:rPr>
          <w:rFonts w:ascii="Arial" w:eastAsia="Times New Roman" w:hAnsi="Arial" w:cs="Arial"/>
          <w:color w:val="140111"/>
          <w:sz w:val="29"/>
          <w:szCs w:val="29"/>
          <w:lang w:eastAsia="ru-RU"/>
        </w:rPr>
      </w:pPr>
    </w:p>
    <w:p w:rsidR="00E42F64" w:rsidRDefault="00E42F64" w:rsidP="00E42F64">
      <w:pPr>
        <w:numPr>
          <w:ilvl w:val="0"/>
          <w:numId w:val="1"/>
        </w:numPr>
        <w:shd w:val="clear" w:color="auto" w:fill="FFFFFF"/>
        <w:spacing w:after="0" w:line="240" w:lineRule="auto"/>
        <w:ind w:left="480"/>
        <w:textAlignment w:val="baseline"/>
        <w:rPr>
          <w:rFonts w:ascii="Arial" w:eastAsia="Times New Roman" w:hAnsi="Arial" w:cs="Arial"/>
          <w:color w:val="140111"/>
          <w:sz w:val="29"/>
          <w:szCs w:val="29"/>
          <w:lang w:eastAsia="ru-RU"/>
        </w:rPr>
      </w:pPr>
      <w:r w:rsidRPr="00E42F64">
        <w:rPr>
          <w:rFonts w:ascii="Arial" w:eastAsia="Times New Roman" w:hAnsi="Arial" w:cs="Arial"/>
          <w:b/>
          <w:bCs/>
          <w:color w:val="140111"/>
          <w:sz w:val="29"/>
          <w:szCs w:val="29"/>
          <w:bdr w:val="none" w:sz="0" w:space="0" w:color="auto" w:frame="1"/>
          <w:lang w:eastAsia="ru-RU"/>
        </w:rPr>
        <w:t>Наличие у НКО специального статуса. </w:t>
      </w:r>
      <w:r w:rsidRPr="00E42F64">
        <w:rPr>
          <w:rFonts w:ascii="Arial" w:eastAsia="Times New Roman" w:hAnsi="Arial" w:cs="Arial"/>
          <w:color w:val="140111"/>
          <w:sz w:val="29"/>
          <w:szCs w:val="29"/>
          <w:lang w:eastAsia="ru-RU"/>
        </w:rPr>
        <w:t xml:space="preserve">Разные статусы накладывают на организацию свои требования. Например, при наличии образовательной лицензии и реализации </w:t>
      </w:r>
      <w:r w:rsidRPr="00E42F64">
        <w:rPr>
          <w:rFonts w:ascii="Arial" w:eastAsia="Times New Roman" w:hAnsi="Arial" w:cs="Arial"/>
          <w:color w:val="140111"/>
          <w:sz w:val="29"/>
          <w:szCs w:val="29"/>
          <w:lang w:eastAsia="ru-RU"/>
        </w:rPr>
        <w:lastRenderedPageBreak/>
        <w:t>образовательных программ законодательство требует ведения определенного делопроизводства (приказы по учебному процессу, ведомости, оформление расписаний и пр.). Другой пример – статус поставщика социальных услуг, который также влечет за собой необходимость соблюдения порядка оформления оказания социальных услуг.</w:t>
      </w:r>
    </w:p>
    <w:p w:rsidR="008C0753" w:rsidRPr="00E42F64" w:rsidRDefault="008C0753" w:rsidP="008C0753">
      <w:pPr>
        <w:shd w:val="clear" w:color="auto" w:fill="FFFFFF"/>
        <w:spacing w:after="0" w:line="240" w:lineRule="auto"/>
        <w:textAlignment w:val="baseline"/>
        <w:rPr>
          <w:rFonts w:ascii="Arial" w:eastAsia="Times New Roman" w:hAnsi="Arial" w:cs="Arial"/>
          <w:color w:val="140111"/>
          <w:sz w:val="29"/>
          <w:szCs w:val="29"/>
          <w:lang w:eastAsia="ru-RU"/>
        </w:rPr>
      </w:pPr>
    </w:p>
    <w:p w:rsidR="00E42F64" w:rsidRPr="00E42F64" w:rsidRDefault="00E42F64" w:rsidP="00E42F64">
      <w:pPr>
        <w:numPr>
          <w:ilvl w:val="0"/>
          <w:numId w:val="1"/>
        </w:numPr>
        <w:shd w:val="clear" w:color="auto" w:fill="FFFFFF"/>
        <w:spacing w:after="0" w:line="240" w:lineRule="auto"/>
        <w:ind w:left="480"/>
        <w:textAlignment w:val="baseline"/>
        <w:rPr>
          <w:rFonts w:ascii="Arial" w:eastAsia="Times New Roman" w:hAnsi="Arial" w:cs="Arial"/>
          <w:color w:val="140111"/>
          <w:sz w:val="29"/>
          <w:szCs w:val="29"/>
          <w:lang w:eastAsia="ru-RU"/>
        </w:rPr>
      </w:pPr>
      <w:r w:rsidRPr="00E42F64">
        <w:rPr>
          <w:rFonts w:ascii="Arial" w:eastAsia="Times New Roman" w:hAnsi="Arial" w:cs="Arial"/>
          <w:b/>
          <w:bCs/>
          <w:color w:val="140111"/>
          <w:sz w:val="29"/>
          <w:szCs w:val="29"/>
          <w:bdr w:val="none" w:sz="0" w:space="0" w:color="auto" w:frame="1"/>
          <w:lang w:eastAsia="ru-RU"/>
        </w:rPr>
        <w:t>Внутренние регламенты, инструкции и положения. </w:t>
      </w:r>
      <w:r w:rsidRPr="00E42F64">
        <w:rPr>
          <w:rFonts w:ascii="Arial" w:eastAsia="Times New Roman" w:hAnsi="Arial" w:cs="Arial"/>
          <w:color w:val="140111"/>
          <w:sz w:val="29"/>
          <w:szCs w:val="29"/>
          <w:lang w:eastAsia="ru-RU"/>
        </w:rPr>
        <w:t> Дополнительные требования к своим документам НКО может установить самостоятельно на уровне внутренних документов. Например, это могут быть дополнительные документы по закупочной или благотворительной деятельности (предварительное одобрение или согласование сделок, проверка заявок на оказание благотворительной помощи и т.д.).</w:t>
      </w:r>
    </w:p>
    <w:p w:rsidR="008C0753" w:rsidRDefault="008C0753" w:rsidP="00E42F64"/>
    <w:p w:rsidR="008C0753" w:rsidRDefault="008C0753" w:rsidP="00E42F64"/>
    <w:p w:rsidR="008C0753" w:rsidRDefault="008C0753" w:rsidP="00E42F64"/>
    <w:p w:rsidR="008C0753" w:rsidRDefault="008C0753" w:rsidP="008C0753">
      <w:pPr>
        <w:shd w:val="clear" w:color="auto" w:fill="FFFFFF"/>
        <w:spacing w:after="0" w:line="240" w:lineRule="auto"/>
        <w:textAlignment w:val="baseline"/>
        <w:rPr>
          <w:rFonts w:ascii="Arial" w:eastAsia="Times New Roman" w:hAnsi="Arial" w:cs="Arial"/>
          <w:b/>
          <w:bCs/>
          <w:color w:val="140111"/>
          <w:sz w:val="29"/>
          <w:szCs w:val="29"/>
          <w:bdr w:val="none" w:sz="0" w:space="0" w:color="auto" w:frame="1"/>
          <w:lang w:eastAsia="ru-RU"/>
        </w:rPr>
      </w:pPr>
      <w:r>
        <w:rPr>
          <w:rFonts w:ascii="Arial" w:eastAsia="Times New Roman" w:hAnsi="Arial" w:cs="Arial"/>
          <w:b/>
          <w:bCs/>
          <w:color w:val="140111"/>
          <w:sz w:val="29"/>
          <w:szCs w:val="29"/>
          <w:bdr w:val="none" w:sz="0" w:space="0" w:color="auto" w:frame="1"/>
          <w:lang w:eastAsia="ru-RU"/>
        </w:rPr>
        <w:t xml:space="preserve">     </w:t>
      </w:r>
      <w:r>
        <w:rPr>
          <w:rFonts w:ascii="Arial" w:eastAsia="Times New Roman" w:hAnsi="Arial" w:cs="Arial"/>
          <w:b/>
          <w:bCs/>
          <w:color w:val="140111"/>
          <w:sz w:val="29"/>
          <w:szCs w:val="29"/>
          <w:bdr w:val="none" w:sz="0" w:space="0" w:color="auto" w:frame="1"/>
          <w:lang w:eastAsia="ru-RU"/>
        </w:rPr>
        <w:t>Процессы, влияющие на перечень документов в НКО</w:t>
      </w:r>
    </w:p>
    <w:p w:rsidR="008C0753" w:rsidRDefault="008C0753" w:rsidP="008C0753">
      <w:pPr>
        <w:shd w:val="clear" w:color="auto" w:fill="FFFFFF"/>
        <w:spacing w:after="0" w:line="240" w:lineRule="auto"/>
        <w:jc w:val="center"/>
        <w:textAlignment w:val="baseline"/>
        <w:rPr>
          <w:rFonts w:ascii="Arial" w:eastAsia="Times New Roman" w:hAnsi="Arial" w:cs="Arial"/>
          <w:b/>
          <w:bCs/>
          <w:color w:val="140111"/>
          <w:sz w:val="29"/>
          <w:szCs w:val="29"/>
          <w:bdr w:val="none" w:sz="0" w:space="0" w:color="auto" w:frame="1"/>
          <w:lang w:eastAsia="ru-RU"/>
        </w:rPr>
      </w:pPr>
    </w:p>
    <w:p w:rsidR="008C0753" w:rsidRPr="00E42F64" w:rsidRDefault="008C0753" w:rsidP="008C0753">
      <w:pPr>
        <w:shd w:val="clear" w:color="auto" w:fill="FFFFFF"/>
        <w:spacing w:after="0" w:line="240" w:lineRule="auto"/>
        <w:jc w:val="center"/>
        <w:textAlignment w:val="baseline"/>
        <w:rPr>
          <w:rFonts w:ascii="Arial" w:eastAsia="Times New Roman" w:hAnsi="Arial" w:cs="Arial"/>
          <w:color w:val="140111"/>
          <w:sz w:val="29"/>
          <w:szCs w:val="29"/>
          <w:lang w:eastAsia="ru-RU"/>
        </w:rPr>
      </w:pPr>
    </w:p>
    <w:p w:rsidR="008C0753" w:rsidRPr="00E42F64" w:rsidRDefault="008C0753" w:rsidP="008C0753">
      <w:pPr>
        <w:shd w:val="clear" w:color="auto" w:fill="FFFFFF"/>
        <w:spacing w:after="450" w:line="240" w:lineRule="auto"/>
        <w:textAlignment w:val="baseline"/>
        <w:rPr>
          <w:rFonts w:ascii="Arial" w:eastAsia="Times New Roman" w:hAnsi="Arial" w:cs="Arial"/>
          <w:color w:val="140111"/>
          <w:sz w:val="29"/>
          <w:szCs w:val="29"/>
          <w:lang w:eastAsia="ru-RU"/>
        </w:rPr>
      </w:pPr>
      <w:r w:rsidRPr="00E42F64">
        <w:rPr>
          <w:rFonts w:ascii="Arial" w:eastAsia="Times New Roman" w:hAnsi="Arial" w:cs="Arial"/>
          <w:color w:val="140111"/>
          <w:sz w:val="29"/>
          <w:szCs w:val="29"/>
          <w:lang w:eastAsia="ru-RU"/>
        </w:rPr>
        <w:t>– бухгалтерский учет (первичные учетные документы, отчеты, справки и т.д.);</w:t>
      </w:r>
    </w:p>
    <w:p w:rsidR="008C0753" w:rsidRPr="00E42F64" w:rsidRDefault="008C0753" w:rsidP="008C0753">
      <w:pPr>
        <w:shd w:val="clear" w:color="auto" w:fill="FFFFFF"/>
        <w:spacing w:after="450" w:line="240" w:lineRule="auto"/>
        <w:textAlignment w:val="baseline"/>
        <w:rPr>
          <w:rFonts w:ascii="Arial" w:eastAsia="Times New Roman" w:hAnsi="Arial" w:cs="Arial"/>
          <w:color w:val="140111"/>
          <w:sz w:val="29"/>
          <w:szCs w:val="29"/>
          <w:lang w:eastAsia="ru-RU"/>
        </w:rPr>
      </w:pPr>
      <w:r w:rsidRPr="00E42F64">
        <w:rPr>
          <w:rFonts w:ascii="Arial" w:eastAsia="Times New Roman" w:hAnsi="Arial" w:cs="Arial"/>
          <w:color w:val="140111"/>
          <w:sz w:val="29"/>
          <w:szCs w:val="29"/>
          <w:lang w:eastAsia="ru-RU"/>
        </w:rPr>
        <w:t>– кадровый учет (личные дела, трудовые договоры, приказы по личному составу и т.д.);</w:t>
      </w:r>
    </w:p>
    <w:p w:rsidR="008C0753" w:rsidRPr="00E42F64" w:rsidRDefault="008C0753" w:rsidP="008C0753">
      <w:pPr>
        <w:shd w:val="clear" w:color="auto" w:fill="FFFFFF"/>
        <w:spacing w:after="450" w:line="240" w:lineRule="auto"/>
        <w:textAlignment w:val="baseline"/>
        <w:rPr>
          <w:rFonts w:ascii="Arial" w:eastAsia="Times New Roman" w:hAnsi="Arial" w:cs="Arial"/>
          <w:color w:val="140111"/>
          <w:sz w:val="29"/>
          <w:szCs w:val="29"/>
          <w:lang w:eastAsia="ru-RU"/>
        </w:rPr>
      </w:pPr>
      <w:r w:rsidRPr="00E42F64">
        <w:rPr>
          <w:rFonts w:ascii="Arial" w:eastAsia="Times New Roman" w:hAnsi="Arial" w:cs="Arial"/>
          <w:color w:val="140111"/>
          <w:sz w:val="29"/>
          <w:szCs w:val="29"/>
          <w:lang w:eastAsia="ru-RU"/>
        </w:rPr>
        <w:t>– документационное обеспечение управления НКО (протоколы заседаний коллегиальных органов управления, решения и пр.);</w:t>
      </w:r>
    </w:p>
    <w:p w:rsidR="008C0753" w:rsidRPr="00E42F64" w:rsidRDefault="008C0753" w:rsidP="008C0753">
      <w:pPr>
        <w:shd w:val="clear" w:color="auto" w:fill="FFFFFF"/>
        <w:spacing w:after="450" w:line="240" w:lineRule="auto"/>
        <w:textAlignment w:val="baseline"/>
        <w:rPr>
          <w:rFonts w:ascii="Arial" w:eastAsia="Times New Roman" w:hAnsi="Arial" w:cs="Arial"/>
          <w:color w:val="140111"/>
          <w:sz w:val="29"/>
          <w:szCs w:val="29"/>
          <w:lang w:eastAsia="ru-RU"/>
        </w:rPr>
      </w:pPr>
      <w:r w:rsidRPr="00E42F64">
        <w:rPr>
          <w:rFonts w:ascii="Arial" w:eastAsia="Times New Roman" w:hAnsi="Arial" w:cs="Arial"/>
          <w:color w:val="140111"/>
          <w:sz w:val="29"/>
          <w:szCs w:val="29"/>
          <w:lang w:eastAsia="ru-RU"/>
        </w:rPr>
        <w:t>– внутренняя организационно-распорядительная документация (управленческие документы – например, приказы руководителя организации, внутренние локальные акты);</w:t>
      </w:r>
    </w:p>
    <w:p w:rsidR="008C0753" w:rsidRPr="00E42F64" w:rsidRDefault="008C0753" w:rsidP="008C0753">
      <w:pPr>
        <w:shd w:val="clear" w:color="auto" w:fill="FFFFFF"/>
        <w:spacing w:after="450" w:line="240" w:lineRule="auto"/>
        <w:textAlignment w:val="baseline"/>
        <w:rPr>
          <w:rFonts w:ascii="Arial" w:eastAsia="Times New Roman" w:hAnsi="Arial" w:cs="Arial"/>
          <w:color w:val="140111"/>
          <w:sz w:val="29"/>
          <w:szCs w:val="29"/>
          <w:lang w:eastAsia="ru-RU"/>
        </w:rPr>
      </w:pPr>
      <w:r w:rsidRPr="00E42F64">
        <w:rPr>
          <w:rFonts w:ascii="Arial" w:eastAsia="Times New Roman" w:hAnsi="Arial" w:cs="Arial"/>
          <w:color w:val="140111"/>
          <w:sz w:val="29"/>
          <w:szCs w:val="29"/>
          <w:lang w:eastAsia="ru-RU"/>
        </w:rPr>
        <w:t>– организация процесса договорной работы (разные виды договоров и сопутствующие документы, например, согласия на обработку персональных данных);</w:t>
      </w:r>
    </w:p>
    <w:p w:rsidR="008C0753" w:rsidRPr="00E42F64" w:rsidRDefault="008C0753" w:rsidP="008C0753">
      <w:pPr>
        <w:shd w:val="clear" w:color="auto" w:fill="FFFFFF"/>
        <w:spacing w:after="450" w:line="240" w:lineRule="auto"/>
        <w:textAlignment w:val="baseline"/>
        <w:rPr>
          <w:rFonts w:ascii="Arial" w:eastAsia="Times New Roman" w:hAnsi="Arial" w:cs="Arial"/>
          <w:color w:val="140111"/>
          <w:sz w:val="29"/>
          <w:szCs w:val="29"/>
          <w:lang w:eastAsia="ru-RU"/>
        </w:rPr>
      </w:pPr>
      <w:r w:rsidRPr="00E42F64">
        <w:rPr>
          <w:rFonts w:ascii="Arial" w:eastAsia="Times New Roman" w:hAnsi="Arial" w:cs="Arial"/>
          <w:color w:val="140111"/>
          <w:sz w:val="29"/>
          <w:szCs w:val="29"/>
          <w:lang w:eastAsia="ru-RU"/>
        </w:rPr>
        <w:t>– работа с потоками документов (входящие и исходящие письма);</w:t>
      </w:r>
    </w:p>
    <w:p w:rsidR="008C0753" w:rsidRPr="008C0753" w:rsidRDefault="008C0753" w:rsidP="008C0753">
      <w:pPr>
        <w:shd w:val="clear" w:color="auto" w:fill="FFFFFF"/>
        <w:spacing w:after="450" w:line="240" w:lineRule="auto"/>
        <w:textAlignment w:val="baseline"/>
        <w:rPr>
          <w:rFonts w:ascii="Arial" w:eastAsia="Times New Roman" w:hAnsi="Arial" w:cs="Arial"/>
          <w:color w:val="140111"/>
          <w:sz w:val="29"/>
          <w:szCs w:val="29"/>
          <w:lang w:eastAsia="ru-RU"/>
        </w:rPr>
      </w:pPr>
      <w:r w:rsidRPr="00E42F64">
        <w:rPr>
          <w:rFonts w:ascii="Arial" w:eastAsia="Times New Roman" w:hAnsi="Arial" w:cs="Arial"/>
          <w:color w:val="140111"/>
          <w:sz w:val="29"/>
          <w:szCs w:val="29"/>
          <w:lang w:eastAsia="ru-RU"/>
        </w:rPr>
        <w:t>– и так далее.</w:t>
      </w:r>
      <w:bookmarkStart w:id="0" w:name="_GoBack"/>
      <w:bookmarkEnd w:id="0"/>
    </w:p>
    <w:sectPr w:rsidR="008C0753" w:rsidRPr="008C0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04AA"/>
    <w:multiLevelType w:val="multilevel"/>
    <w:tmpl w:val="1FBC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D6"/>
    <w:rsid w:val="00843F83"/>
    <w:rsid w:val="008C0753"/>
    <w:rsid w:val="00DC06D6"/>
    <w:rsid w:val="00E42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DA5B"/>
  <w15:chartTrackingRefBased/>
  <w15:docId w15:val="{067CBAA2-81EE-4205-87BB-3ED87CB5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0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HyperPC</dc:creator>
  <cp:keywords/>
  <dc:description/>
  <cp:lastModifiedBy>HyperPC</cp:lastModifiedBy>
  <cp:revision>4</cp:revision>
  <dcterms:created xsi:type="dcterms:W3CDTF">2024-05-16T09:46:00Z</dcterms:created>
  <dcterms:modified xsi:type="dcterms:W3CDTF">2024-05-16T09:59:00Z</dcterms:modified>
</cp:coreProperties>
</file>