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1" w:rsidRPr="00E44A22" w:rsidRDefault="00E44A22" w:rsidP="00E44A22">
      <w:pPr>
        <w:spacing w:after="0" w:line="630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</w:pPr>
      <w:r w:rsidRPr="00E44A22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П</w:t>
      </w:r>
      <w:r w:rsidR="007021A1" w:rsidRPr="00E44A22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еречень документов, необходимых для государственной регистрации некоммерческих организаций</w:t>
      </w:r>
    </w:p>
    <w:p w:rsidR="007021A1" w:rsidRDefault="007021A1" w:rsidP="007021A1">
      <w:pPr>
        <w:spacing w:after="150" w:line="390" w:lineRule="atLeast"/>
        <w:outlineLvl w:val="2"/>
        <w:rPr>
          <w:rFonts w:ascii="Arial" w:eastAsia="Times New Roman" w:hAnsi="Arial" w:cs="Arial"/>
          <w:color w:val="929197"/>
          <w:sz w:val="23"/>
          <w:szCs w:val="23"/>
          <w:lang w:eastAsia="ru-RU"/>
        </w:rPr>
      </w:pPr>
    </w:p>
    <w:p w:rsidR="007021A1" w:rsidRPr="00E44A22" w:rsidRDefault="00E44A22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Scada" w:eastAsia="Times New Roman" w:hAnsi="Scada" w:cs="Arial"/>
          <w:color w:val="000000"/>
          <w:sz w:val="36"/>
          <w:szCs w:val="36"/>
          <w:lang w:eastAsia="ru-RU"/>
        </w:rPr>
        <w:t xml:space="preserve">   </w:t>
      </w:r>
      <w:r w:rsidR="007021A1" w:rsidRPr="00E44A22">
        <w:rPr>
          <w:rFonts w:ascii="Arial" w:eastAsia="Times New Roman" w:hAnsi="Arial" w:cs="Arial"/>
          <w:b/>
          <w:sz w:val="24"/>
          <w:szCs w:val="24"/>
          <w:lang w:eastAsia="ru-RU"/>
        </w:rPr>
        <w:t>В соответствии со статьей 13.1 Федерального закона «О некоммерческих организациях» для государственной регистрации некоммерческой организации представляются: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— заявление, подписанное уполномоченным лицом, с указанием его фамилии, имени, отчества, места жительства и контактных телефонов;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учредительные документы некоммерческой организации;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решение о создании некоммерческой организации и об утверждении ее учредительных документов с указанием состава избранных (назначенных) органов;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сведения об учредителях (указываются в соответствующем приложении к заявлению);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документ об уплате государственной пошлины;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сведения об адресе (месте нахождения) постоянно действующего органа некоммерческой организации, по которому осуществляется связь с некоммерческой организацией (указываются в соответствующей графе заявления);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при использовании в наименовании некоммерческой организации личного имени гражданина, символики, защищенной законодательством Российской Федерации об охране интеллектуальной собственности или авторских прав, а также полного наименования иного юридического лица как части собственного наименования — документы, подтверждающие правомочия на их использование;</w:t>
      </w:r>
    </w:p>
    <w:p w:rsidR="007021A1" w:rsidRPr="00E44A22" w:rsidRDefault="007021A1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4A22">
        <w:rPr>
          <w:rFonts w:ascii="Arial" w:eastAsia="Times New Roman" w:hAnsi="Arial" w:cs="Arial"/>
          <w:b/>
          <w:sz w:val="24"/>
          <w:szCs w:val="24"/>
          <w:lang w:eastAsia="ru-RU"/>
        </w:rPr>
        <w:t>В соответствии с п. 1 ст. 23 и п. 7 ст. 32 ФЗ «О некоммерческих организациях», государственная регистрация изменений, вносимых в учредительные документы некоммерческой организации, и внесение изменений в сведения о некоммерческой организации, содержащиеся в Едином государственном реестре юридических лиц, осуществляется в том же порядке, что и государственная регистрация некоммерческой организации.</w:t>
      </w:r>
    </w:p>
    <w:p w:rsidR="007021A1" w:rsidRPr="00E44A22" w:rsidRDefault="007021A1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4A22">
        <w:rPr>
          <w:rFonts w:ascii="Arial" w:eastAsia="Times New Roman" w:hAnsi="Arial" w:cs="Arial"/>
          <w:b/>
          <w:sz w:val="24"/>
          <w:szCs w:val="24"/>
          <w:lang w:eastAsia="ru-RU"/>
        </w:rPr>
        <w:t>В соответствии с п. 1 ст. 17 ФЗ «О государственной регистрации юридических лиц и индивидуальных предпринимателей», п.1 ст. 23 ФЗ «О некоммерческих организациях» для государственной регистрации изменений, вносимых в учредительные документы некоммерческой организации, представляются: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 заявление о государственной регистрации изменений, вносимых в учредительные документы;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решение о внесении изменений в учредительные документы;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учредительные документы некоммерческой организации в новой редакции;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документ об уплате государственной пошлины.</w:t>
      </w:r>
    </w:p>
    <w:p w:rsidR="007021A1" w:rsidRPr="0010517B" w:rsidRDefault="007021A1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517B">
        <w:rPr>
          <w:rFonts w:ascii="Arial" w:eastAsia="Times New Roman" w:hAnsi="Arial" w:cs="Arial"/>
          <w:b/>
          <w:sz w:val="24"/>
          <w:szCs w:val="24"/>
          <w:lang w:eastAsia="ru-RU"/>
        </w:rPr>
        <w:t>Для внесения в Единый государственный реестр юридических лиц изменений в сведения, не связанные с внесением изменений в учредительные документы некоммерческой организации, представляются: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— заявление о внесении в Единый государственный реестр юридических лиц изменений в сведения о некоммерческой организации, не связанных с внесением изменений в учредительные документы;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решение (протокол, выписка из протокола) руководящего органа некоммерческой организации, подтверждающее в установленных законодательством Российской Федерации случаях сведения о некоммерческой организации, подлежащие изменению в Едином государственном реестре юридических лиц.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При включении в наименование некоммерческой организации официального наименования «Российская Федерация» или «Россия», а также слов, производных от этого наименования, на государственную регистрацию представляется заверенная уполномоченным лицом некоммерческой организации копия соответствующего разрешения, за исключением случаев, установленных законодательством Российской Федерации.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В соответствии со ст. 16 ФЗ «Некоммерческих организациях» некоммерческая организация может быть реорганизована в порядке, предусмотренном Гражданским кодексом РФ и ФЗ «О государственной регистрации юридических лиц и индивидуальных предпринимателей».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Согласно ст.13.1. ФЗ «О государственной регистрации юридических лиц и индивидуальных предпринимателей» юридическое лицо в течение трех рабочих дней после даты принятия решения о его реорганизации обязано в письменной форме сообщить в Управление о начале процедуры реорганизации, в том числе о форме реорганизации, с приложением решения о реорганизации. В случае участия в реорганизации двух и более юридических лиц такое уведомление направляется юридическим лицом, последним принявшим решение о реорганизации либо определенным решением о реорганизации.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 xml:space="preserve">Реорганизуемое юридическое лицо после внесения в единый государственный реестр юридических лиц записи о начале процедуры реорганизации дважды с периодичностью один раз в месяц помещает в средствах массовой информации, в которых опубликовываются данные о государственной регистрации юридических лиц, уведомление о своей реорганизации. В случае участия 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 реорганизации двух и более юридических лиц уведомление о реорганизации опубликовывается от имени всех участвующих в реорганизации юридических лиц юридическим лицом, последним принявшим решение о реорганизации либо определенным решением о реорганизации. В уведомлении о реорганизации указываются сведения о каждом участвующем в реорганизации, создаваемом (продолжающем деятельность) в результате реорганизации юридическом лице, форма реорганизации, описание порядка и условий заявления кредиторами своих требований, иные сведения, предусмотренные федеральными законами. Реорганизуемое юридическое лицо в течение пяти рабочих дней после даты направления уведомления о начале процедуры реорганизации в орган, осуществляющий государственную регистрацию юридических лиц, в письменной форме уведомляет известных ему кредиторов о начале реорганизации, если иное не предусмотрено федеральными законами.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рекомендуемая форма заявления — уведомления о начале процедуры реорганизации размещена на сайте Федеральной налоговой службы в сети Интернет по адресу: </w:t>
      </w:r>
      <w:proofErr w:type="spellStart"/>
      <w:r w:rsidRPr="007021A1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7021A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7021A1">
        <w:rPr>
          <w:rFonts w:ascii="Arial" w:eastAsia="Times New Roman" w:hAnsi="Arial" w:cs="Arial"/>
          <w:sz w:val="24"/>
          <w:szCs w:val="24"/>
          <w:lang w:eastAsia="ru-RU"/>
        </w:rPr>
        <w:t>nalog</w:t>
      </w:r>
      <w:proofErr w:type="spellEnd"/>
      <w:r w:rsidRPr="007021A1">
        <w:rPr>
          <w:rFonts w:ascii="Arial" w:eastAsia="Times New Roman" w:hAnsi="Arial" w:cs="Arial"/>
          <w:sz w:val="24"/>
          <w:szCs w:val="24"/>
          <w:lang w:eastAsia="ru-RU"/>
        </w:rPr>
        <w:t>. </w:t>
      </w:r>
      <w:proofErr w:type="spellStart"/>
      <w:r w:rsidRPr="007021A1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  <w:r w:rsidRPr="007021A1">
        <w:rPr>
          <w:rFonts w:ascii="Arial" w:eastAsia="Times New Roman" w:hAnsi="Arial" w:cs="Arial"/>
          <w:sz w:val="24"/>
          <w:szCs w:val="24"/>
          <w:lang w:eastAsia="ru-RU"/>
        </w:rPr>
        <w:t> (письмо ФНС от 23.01.2009 № МН-22-6/64@).</w:t>
      </w:r>
    </w:p>
    <w:p w:rsidR="007021A1" w:rsidRPr="00E44A22" w:rsidRDefault="007021A1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4A22">
        <w:rPr>
          <w:rFonts w:ascii="Arial" w:eastAsia="Times New Roman" w:hAnsi="Arial" w:cs="Arial"/>
          <w:b/>
          <w:sz w:val="24"/>
          <w:szCs w:val="24"/>
          <w:lang w:eastAsia="ru-RU"/>
        </w:rPr>
        <w:t>В соответствии со ст.14 ФЗ «О государственной регистрации юридических лиц и индивидуальных предпринимателей» при государственной регистрации юридического лица, создаваемого путем реорганизации (преобразования, слияния, разделения, выделения) представляются: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а) заявления о государственной регистрации некоммерческой организации, создаваемой путем реорганизации;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б) учредительные документы юридического лица электронной форме экземпляр таких документов на бумажном носителе с отметкой регистрирующего органа представляется заявителю (его представителю, действующему на основании доверенности) при указании на необходимость получения и способа получения таких документов заявителем при направлении предусмотренных настоящей статьей документов в регистрирующий орган;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г) договор о слиянии в случаях, предусмотренных федеральными законами;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д) передаточный акт или разделительный баланс;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е) документ об уплате государственной пошлины;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ж) документ, подтверждающий представление в территориальный орган Пенсионного фонда Российской Федерации сведений в соответствии с </w:t>
      </w:r>
      <w:proofErr w:type="spellStart"/>
      <w:r w:rsidRPr="007021A1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7021A1">
        <w:rPr>
          <w:rFonts w:ascii="Arial" w:eastAsia="Times New Roman" w:hAnsi="Arial" w:cs="Arial"/>
          <w:sz w:val="24"/>
          <w:szCs w:val="24"/>
          <w:lang w:eastAsia="ru-RU"/>
        </w:rPr>
        <w:t xml:space="preserve">. 1 — 8 п. 2 ст.6 и п.2 ст. 11 Федерального закона от 1 апреля 1996 года № 27-ФЗ «Об индивидуальном (персонифицированном) учете в системе обязательного пенсионного страхования» (далее — Федеральный закон «Об индивидуальном (персонифицированном) учете в системе обязательного пенсионного страхования») и в соответствии с ч. 4 ст. 9 Федерального закона «О дополнительных страховых взносах на накопительную часть трудовой пенсии и государственной поддержке формирования пенсионных накоплений». Указанный документ (содержащиеся в нем сведения) предоставляется 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 межведомственному запросу Управления соответствующим территориальным органом Пенсионного фонда Российской Федерации в электронной форме в порядке и сроки, которые установлены Правительством Российской Федерации.</w:t>
      </w:r>
    </w:p>
    <w:p w:rsidR="007021A1" w:rsidRPr="00E44A22" w:rsidRDefault="007021A1" w:rsidP="007021A1">
      <w:pPr>
        <w:spacing w:after="225" w:line="33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4A22">
        <w:rPr>
          <w:rFonts w:ascii="Arial" w:eastAsia="Times New Roman" w:hAnsi="Arial" w:cs="Arial"/>
          <w:b/>
          <w:sz w:val="24"/>
          <w:szCs w:val="24"/>
          <w:lang w:eastAsia="ru-RU"/>
        </w:rPr>
        <w:t>В соответствии со статьей 21 ФЗ «О государственной регистрации юридических лиц и индивидуальных предпринимателей» для государственной регистрации ликвидации юридического лица представляются: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— заявление о государственной регистрации ликвидации;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ликвидационный баланс;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документ об уплате государственной пошлины;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— документ, подтверждающий представление в территориальный орган Пенсионного фонда Российской Федерации сведений в соответствии с </w:t>
      </w:r>
      <w:proofErr w:type="spellStart"/>
      <w:r w:rsidRPr="007021A1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7021A1">
        <w:rPr>
          <w:rFonts w:ascii="Arial" w:eastAsia="Times New Roman" w:hAnsi="Arial" w:cs="Arial"/>
          <w:sz w:val="24"/>
          <w:szCs w:val="24"/>
          <w:lang w:eastAsia="ru-RU"/>
        </w:rPr>
        <w:t>. 1-8 п. 2 ст. 6 и п.2 ст. 11 Федерального закона от 1 апреля 1996 г. N 27-ФЗ «Об индивидуальном (персонифицированном) учете в системе обязательного пенсионного страхования» и в соответствии с ч.4 ст.9</w:t>
      </w:r>
      <w:r w:rsidRPr="007021A1">
        <w:rPr>
          <w:rFonts w:ascii="Arial" w:eastAsia="Times New Roman" w:hAnsi="Arial" w:cs="Arial"/>
          <w:sz w:val="24"/>
          <w:szCs w:val="24"/>
          <w:lang w:eastAsia="ru-RU"/>
        </w:rPr>
        <w:br/>
        <w:t>Федерального закона от 30 апреля 2008 г. N 56-ФЗ «О дополнительных страховых взносах на накопительную часть трудовой пенсии и государственной поддержке формирования пенсионных накоплений». Указанный документ представляется по межведомственному запросу Управления соответствующим территориальным органом Пенсионного фонда Российской Федерации в электронной форме в порядке и сроки, которые установлены Правительством Российской Федерации.</w:t>
      </w:r>
    </w:p>
    <w:p w:rsidR="007021A1" w:rsidRPr="007021A1" w:rsidRDefault="007021A1" w:rsidP="007021A1">
      <w:pPr>
        <w:spacing w:after="225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При ликвидации юридического лица в случае применения процедуры банкротства представляется определение арбитражного суда о завершении конкурсного производства.</w:t>
      </w:r>
    </w:p>
    <w:p w:rsidR="007021A1" w:rsidRPr="007021A1" w:rsidRDefault="007021A1" w:rsidP="007021A1">
      <w:p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21A1">
        <w:rPr>
          <w:rFonts w:ascii="Arial" w:eastAsia="Times New Roman" w:hAnsi="Arial" w:cs="Arial"/>
          <w:sz w:val="24"/>
          <w:szCs w:val="24"/>
          <w:lang w:eastAsia="ru-RU"/>
        </w:rPr>
        <w:t>Законодательством Российской Федерации могут быть установлены и иные документы, необходимые для государственной регистрации ликвидации отдельных видов некоммерческих организаций.</w:t>
      </w:r>
    </w:p>
    <w:p w:rsidR="00620775" w:rsidRDefault="00620775"/>
    <w:p w:rsidR="007021A1" w:rsidRDefault="007021A1"/>
    <w:p w:rsidR="007021A1" w:rsidRDefault="007021A1"/>
    <w:p w:rsidR="007021A1" w:rsidRDefault="007021A1"/>
    <w:p w:rsidR="007021A1" w:rsidRDefault="007021A1"/>
    <w:p w:rsidR="007021A1" w:rsidRDefault="007021A1"/>
    <w:p w:rsidR="007021A1" w:rsidRDefault="007021A1"/>
    <w:p w:rsidR="007021A1" w:rsidRDefault="007021A1"/>
    <w:p w:rsidR="007021A1" w:rsidRDefault="007021A1"/>
    <w:p w:rsidR="007021A1" w:rsidRDefault="007021A1">
      <w:bookmarkStart w:id="0" w:name="_GoBack"/>
      <w:bookmarkEnd w:id="0"/>
    </w:p>
    <w:sectPr w:rsidR="0070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9A0"/>
    <w:multiLevelType w:val="multilevel"/>
    <w:tmpl w:val="118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AD"/>
    <w:rsid w:val="0010517B"/>
    <w:rsid w:val="004B741A"/>
    <w:rsid w:val="005F5442"/>
    <w:rsid w:val="00620775"/>
    <w:rsid w:val="007021A1"/>
    <w:rsid w:val="00D42CAD"/>
    <w:rsid w:val="00E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FFDD"/>
  <w15:chartTrackingRefBased/>
  <w15:docId w15:val="{2D6C9DCC-44E3-4612-B0B2-241FA79C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1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508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4</cp:revision>
  <cp:lastPrinted>2024-04-26T10:38:00Z</cp:lastPrinted>
  <dcterms:created xsi:type="dcterms:W3CDTF">2024-04-26T09:40:00Z</dcterms:created>
  <dcterms:modified xsi:type="dcterms:W3CDTF">2024-05-07T05:46:00Z</dcterms:modified>
</cp:coreProperties>
</file>