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4879"/>
        <w:gridCol w:w="332"/>
        <w:gridCol w:w="4217"/>
      </w:tblGrid>
      <w:tr w:rsidR="00594177" w:rsidRPr="00594177" w:rsidTr="0080560E">
        <w:trPr>
          <w:trHeight w:val="3828"/>
        </w:trPr>
        <w:tc>
          <w:tcPr>
            <w:tcW w:w="4879" w:type="dxa"/>
          </w:tcPr>
          <w:p w:rsidR="00594177" w:rsidRPr="00594177" w:rsidRDefault="00594177" w:rsidP="0080560E">
            <w:pPr>
              <w:pStyle w:val="2"/>
              <w:spacing w:line="240" w:lineRule="atLeast"/>
              <w:jc w:val="center"/>
              <w:rPr>
                <w:rFonts w:eastAsia="Batang"/>
                <w:b w:val="0"/>
                <w:sz w:val="22"/>
                <w:szCs w:val="22"/>
              </w:rPr>
            </w:pPr>
            <w:r w:rsidRPr="00594177">
              <w:rPr>
                <w:rFonts w:eastAsia="Batang"/>
                <w:szCs w:val="28"/>
              </w:rPr>
              <w:t>УПРАВЛЕНИЕ ОБРАЗОВАНИЯ</w:t>
            </w:r>
          </w:p>
          <w:p w:rsidR="00594177" w:rsidRPr="00594177" w:rsidRDefault="00594177" w:rsidP="0080560E">
            <w:pPr>
              <w:pStyle w:val="2"/>
              <w:spacing w:line="240" w:lineRule="atLeast"/>
              <w:jc w:val="center"/>
              <w:rPr>
                <w:rFonts w:eastAsia="Batang"/>
                <w:sz w:val="24"/>
                <w:szCs w:val="24"/>
              </w:rPr>
            </w:pPr>
            <w:r w:rsidRPr="00594177">
              <w:rPr>
                <w:rFonts w:eastAsia="Batang"/>
                <w:sz w:val="24"/>
                <w:szCs w:val="24"/>
              </w:rPr>
              <w:t>АДМИНИСТРАЦИИ</w:t>
            </w:r>
          </w:p>
          <w:p w:rsidR="00594177" w:rsidRPr="00594177" w:rsidRDefault="00594177" w:rsidP="0080560E">
            <w:pPr>
              <w:pStyle w:val="2"/>
              <w:spacing w:line="240" w:lineRule="atLeast"/>
              <w:jc w:val="center"/>
              <w:rPr>
                <w:rFonts w:eastAsia="Batang"/>
                <w:sz w:val="24"/>
                <w:szCs w:val="24"/>
              </w:rPr>
            </w:pPr>
            <w:r w:rsidRPr="00594177">
              <w:rPr>
                <w:rFonts w:eastAsia="Batang"/>
                <w:sz w:val="24"/>
                <w:szCs w:val="24"/>
              </w:rPr>
              <w:t xml:space="preserve">ВЫШНЕВОЛОЦКОГО </w:t>
            </w:r>
          </w:p>
          <w:p w:rsidR="00594177" w:rsidRPr="00594177" w:rsidRDefault="00594177" w:rsidP="0080560E">
            <w:pPr>
              <w:pStyle w:val="2"/>
              <w:spacing w:line="240" w:lineRule="atLeast"/>
              <w:jc w:val="center"/>
              <w:rPr>
                <w:rFonts w:eastAsia="Batang"/>
                <w:b w:val="0"/>
                <w:sz w:val="24"/>
                <w:szCs w:val="24"/>
              </w:rPr>
            </w:pPr>
            <w:r w:rsidRPr="00594177">
              <w:rPr>
                <w:rFonts w:eastAsia="Batang"/>
                <w:sz w:val="24"/>
                <w:szCs w:val="24"/>
              </w:rPr>
              <w:t>ГОРОДСКОГО ОКРУГА</w:t>
            </w:r>
          </w:p>
          <w:p w:rsidR="00594177" w:rsidRPr="00594177" w:rsidRDefault="00594177" w:rsidP="0080560E">
            <w:pPr>
              <w:pStyle w:val="2"/>
              <w:jc w:val="center"/>
              <w:rPr>
                <w:rFonts w:eastAsia="Batang"/>
                <w:b w:val="0"/>
                <w:sz w:val="22"/>
                <w:szCs w:val="22"/>
              </w:rPr>
            </w:pPr>
            <w:r w:rsidRPr="00594177">
              <w:rPr>
                <w:rFonts w:eastAsia="Batang"/>
                <w:b w:val="0"/>
                <w:sz w:val="22"/>
                <w:szCs w:val="22"/>
              </w:rPr>
              <w:t xml:space="preserve">Казанский проспект, д. 59-61/1, </w:t>
            </w:r>
          </w:p>
          <w:p w:rsidR="00594177" w:rsidRPr="00594177" w:rsidRDefault="00594177" w:rsidP="0080560E">
            <w:pPr>
              <w:pStyle w:val="2"/>
              <w:jc w:val="center"/>
              <w:rPr>
                <w:rFonts w:eastAsia="Batang"/>
                <w:b w:val="0"/>
                <w:sz w:val="22"/>
                <w:szCs w:val="22"/>
              </w:rPr>
            </w:pPr>
            <w:r w:rsidRPr="00594177">
              <w:rPr>
                <w:rFonts w:eastAsia="Batang"/>
                <w:b w:val="0"/>
                <w:sz w:val="22"/>
                <w:szCs w:val="22"/>
              </w:rPr>
              <w:t>г. Вышний Волочек,</w:t>
            </w:r>
          </w:p>
          <w:p w:rsidR="00594177" w:rsidRPr="00594177" w:rsidRDefault="00594177" w:rsidP="0080560E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594177">
              <w:rPr>
                <w:rFonts w:ascii="Times New Roman" w:eastAsia="Batang" w:hAnsi="Times New Roman" w:cs="Times New Roman"/>
              </w:rPr>
              <w:t>Тверская область, 171163</w:t>
            </w:r>
          </w:p>
          <w:p w:rsidR="00594177" w:rsidRPr="00594177" w:rsidRDefault="00594177" w:rsidP="008056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4177">
              <w:rPr>
                <w:rFonts w:ascii="Times New Roman" w:hAnsi="Times New Roman" w:cs="Times New Roman"/>
              </w:rPr>
              <w:t xml:space="preserve">тел.(48233) 6-13-85, </w:t>
            </w:r>
          </w:p>
          <w:p w:rsidR="00594177" w:rsidRPr="00594177" w:rsidRDefault="00594177" w:rsidP="008056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4177">
              <w:rPr>
                <w:rFonts w:ascii="Times New Roman" w:hAnsi="Times New Roman" w:cs="Times New Roman"/>
                <w:lang w:val="en-US"/>
              </w:rPr>
              <w:t>E</w:t>
            </w:r>
            <w:r w:rsidRPr="00594177">
              <w:rPr>
                <w:rFonts w:ascii="Times New Roman" w:hAnsi="Times New Roman" w:cs="Times New Roman"/>
              </w:rPr>
              <w:t>-</w:t>
            </w:r>
            <w:r w:rsidRPr="00594177">
              <w:rPr>
                <w:rFonts w:ascii="Times New Roman" w:hAnsi="Times New Roman" w:cs="Times New Roman"/>
                <w:lang w:val="en-US"/>
              </w:rPr>
              <w:t>Mail</w:t>
            </w:r>
            <w:r w:rsidRPr="005941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94177">
              <w:rPr>
                <w:rFonts w:ascii="Times New Roman" w:hAnsi="Times New Roman" w:cs="Times New Roman"/>
                <w:lang w:val="en-US"/>
              </w:rPr>
              <w:t>yo</w:t>
            </w:r>
            <w:proofErr w:type="spellEnd"/>
            <w:r w:rsidRPr="00594177">
              <w:rPr>
                <w:rFonts w:ascii="Times New Roman" w:hAnsi="Times New Roman" w:cs="Times New Roman"/>
              </w:rPr>
              <w:t>@</w:t>
            </w:r>
            <w:r w:rsidRPr="00594177">
              <w:rPr>
                <w:rFonts w:ascii="Times New Roman" w:hAnsi="Times New Roman" w:cs="Times New Roman"/>
                <w:lang w:val="en-US"/>
              </w:rPr>
              <w:t>v</w:t>
            </w:r>
            <w:r w:rsidRPr="00594177">
              <w:rPr>
                <w:rFonts w:ascii="Times New Roman" w:hAnsi="Times New Roman" w:cs="Times New Roman"/>
              </w:rPr>
              <w:t>-</w:t>
            </w:r>
            <w:proofErr w:type="spellStart"/>
            <w:r w:rsidRPr="00594177">
              <w:rPr>
                <w:rFonts w:ascii="Times New Roman" w:hAnsi="Times New Roman" w:cs="Times New Roman"/>
                <w:lang w:val="en-US"/>
              </w:rPr>
              <w:t>volok</w:t>
            </w:r>
            <w:proofErr w:type="spellEnd"/>
            <w:r w:rsidRPr="00594177">
              <w:rPr>
                <w:rFonts w:ascii="Times New Roman" w:hAnsi="Times New Roman" w:cs="Times New Roman"/>
              </w:rPr>
              <w:t>.</w:t>
            </w:r>
            <w:proofErr w:type="spellStart"/>
            <w:r w:rsidRPr="005941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94177" w:rsidRPr="00594177" w:rsidRDefault="00594177" w:rsidP="008056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4177">
              <w:rPr>
                <w:rFonts w:ascii="Times New Roman" w:hAnsi="Times New Roman" w:cs="Times New Roman"/>
              </w:rPr>
              <w:t>ИНН6908002317  КПП 690801001</w:t>
            </w:r>
          </w:p>
          <w:tbl>
            <w:tblPr>
              <w:tblW w:w="4421" w:type="dxa"/>
              <w:tblLook w:val="01E0"/>
            </w:tblPr>
            <w:tblGrid>
              <w:gridCol w:w="724"/>
              <w:gridCol w:w="1264"/>
              <w:gridCol w:w="236"/>
              <w:gridCol w:w="198"/>
              <w:gridCol w:w="251"/>
              <w:gridCol w:w="1748"/>
            </w:tblGrid>
            <w:tr w:rsidR="00594177" w:rsidRPr="00594177" w:rsidTr="0080560E">
              <w:trPr>
                <w:trHeight w:val="213"/>
              </w:trPr>
              <w:tc>
                <w:tcPr>
                  <w:tcW w:w="1988" w:type="dxa"/>
                  <w:gridSpan w:val="2"/>
                  <w:tcBorders>
                    <w:bottom w:val="single" w:sz="4" w:space="0" w:color="auto"/>
                  </w:tcBorders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9" w:type="dxa"/>
                  <w:gridSpan w:val="2"/>
                  <w:tcBorders>
                    <w:bottom w:val="single" w:sz="4" w:space="0" w:color="auto"/>
                  </w:tcBorders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4177" w:rsidRPr="00594177" w:rsidTr="0080560E">
              <w:trPr>
                <w:trHeight w:val="213"/>
              </w:trPr>
              <w:tc>
                <w:tcPr>
                  <w:tcW w:w="724" w:type="dxa"/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0" w:type="dxa"/>
                  <w:gridSpan w:val="2"/>
                  <w:tcBorders>
                    <w:bottom w:val="single" w:sz="4" w:space="0" w:color="auto"/>
                  </w:tcBorders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" w:type="dxa"/>
                  <w:gridSpan w:val="2"/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47" w:type="dxa"/>
                  <w:tcBorders>
                    <w:bottom w:val="single" w:sz="4" w:space="0" w:color="auto"/>
                  </w:tcBorders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4177" w:rsidRPr="00594177" w:rsidTr="0080560E">
              <w:trPr>
                <w:trHeight w:val="265"/>
              </w:trPr>
              <w:tc>
                <w:tcPr>
                  <w:tcW w:w="4421" w:type="dxa"/>
                  <w:gridSpan w:val="6"/>
                </w:tcPr>
                <w:p w:rsidR="00594177" w:rsidRPr="00594177" w:rsidRDefault="00594177" w:rsidP="0080560E">
                  <w:pPr>
                    <w:framePr w:hSpace="180" w:wrap="around" w:vAnchor="text" w:hAnchor="margin" w:y="3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94177" w:rsidRPr="00594177" w:rsidTr="0080560E">
              <w:trPr>
                <w:trHeight w:val="285"/>
              </w:trPr>
              <w:tc>
                <w:tcPr>
                  <w:tcW w:w="4421" w:type="dxa"/>
                  <w:gridSpan w:val="6"/>
                </w:tcPr>
                <w:p w:rsidR="00594177" w:rsidRPr="00594177" w:rsidRDefault="00594177" w:rsidP="00594177">
                  <w:pPr>
                    <w:framePr w:hSpace="180" w:wrap="around" w:vAnchor="text" w:hAnchor="margin" w:y="31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94177" w:rsidRPr="00594177" w:rsidRDefault="00594177" w:rsidP="00805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</w:tcPr>
          <w:p w:rsidR="00594177" w:rsidRPr="00594177" w:rsidRDefault="00594177" w:rsidP="00805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594177" w:rsidRPr="00594177" w:rsidRDefault="00594177" w:rsidP="00805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94177" w:rsidRDefault="00594177" w:rsidP="00594177">
      <w:pPr>
        <w:spacing w:after="930" w:line="240" w:lineRule="auto"/>
        <w:ind w:left="817" w:hanging="77"/>
        <w:rPr>
          <w:rFonts w:ascii="Times New Roman" w:hAnsi="Times New Roman" w:cs="Times New Roman"/>
          <w:b/>
          <w:sz w:val="28"/>
        </w:rPr>
      </w:pPr>
      <w:r w:rsidRPr="00594177">
        <w:rPr>
          <w:rFonts w:ascii="Times New Roman" w:hAnsi="Times New Roman" w:cs="Times New Roman"/>
          <w:b/>
          <w:sz w:val="28"/>
        </w:rPr>
        <w:t>Рекомендации по анализу и оценке  образовательных результатов в 2021/2022 учебном году</w:t>
      </w:r>
    </w:p>
    <w:p w:rsidR="00594177" w:rsidRDefault="00594177" w:rsidP="00594177">
      <w:pPr>
        <w:spacing w:after="930" w:line="240" w:lineRule="auto"/>
        <w:ind w:firstLine="740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7062470</wp:posOffset>
            </wp:positionH>
            <wp:positionV relativeFrom="page">
              <wp:posOffset>9242425</wp:posOffset>
            </wp:positionV>
            <wp:extent cx="6350" cy="6350"/>
            <wp:effectExtent l="0" t="0" r="0" b="0"/>
            <wp:wrapSquare wrapText="bothSides"/>
            <wp:docPr id="6" name="Picture 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94177">
        <w:rPr>
          <w:rFonts w:ascii="Times New Roman" w:hAnsi="Times New Roman" w:cs="Times New Roman"/>
          <w:sz w:val="28"/>
        </w:rPr>
        <w:t xml:space="preserve">В соответствии с Федеральным законом «Об образовании в Российской Федерации» 273-ФЗ от 29 декабря 2012 года, Приказом Министерства Просвещения РФ от 22 марта 2021 года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в целях организации работы муниципальных общеобразовательных организаций </w:t>
      </w:r>
      <w:proofErr w:type="spellStart"/>
      <w:r w:rsidRPr="00594177">
        <w:rPr>
          <w:rFonts w:ascii="Times New Roman" w:hAnsi="Times New Roman" w:cs="Times New Roman"/>
          <w:sz w:val="28"/>
        </w:rPr>
        <w:t>Вышневолоцкого</w:t>
      </w:r>
      <w:proofErr w:type="spellEnd"/>
      <w:r w:rsidRPr="00594177">
        <w:rPr>
          <w:rFonts w:ascii="Times New Roman" w:hAnsi="Times New Roman" w:cs="Times New Roman"/>
          <w:sz w:val="28"/>
        </w:rPr>
        <w:t xml:space="preserve"> городского округа, реализующих основные</w:t>
      </w:r>
      <w:proofErr w:type="gramEnd"/>
      <w:r w:rsidRPr="00594177">
        <w:rPr>
          <w:rFonts w:ascii="Times New Roman" w:hAnsi="Times New Roman" w:cs="Times New Roman"/>
          <w:sz w:val="28"/>
        </w:rPr>
        <w:t xml:space="preserve"> общеобразовательные программы в 2021/2022учебном году и решения задачи в области анализа и оценки образовательных </w:t>
      </w:r>
      <w:proofErr w:type="gramStart"/>
      <w:r w:rsidRPr="00594177">
        <w:rPr>
          <w:rFonts w:ascii="Times New Roman" w:hAnsi="Times New Roman" w:cs="Times New Roman"/>
          <w:sz w:val="28"/>
        </w:rPr>
        <w:t>результатов</w:t>
      </w:r>
      <w:proofErr w:type="gramEnd"/>
      <w:r w:rsidRPr="00594177">
        <w:rPr>
          <w:rFonts w:ascii="Times New Roman" w:hAnsi="Times New Roman" w:cs="Times New Roman"/>
          <w:sz w:val="28"/>
        </w:rPr>
        <w:t xml:space="preserve"> обучающихся Управление образования администрации </w:t>
      </w:r>
      <w:proofErr w:type="spellStart"/>
      <w:r w:rsidRPr="00594177">
        <w:rPr>
          <w:rFonts w:ascii="Times New Roman" w:hAnsi="Times New Roman" w:cs="Times New Roman"/>
          <w:sz w:val="28"/>
        </w:rPr>
        <w:t>Вышневолоцкого</w:t>
      </w:r>
      <w:proofErr w:type="spellEnd"/>
      <w:r w:rsidRPr="00594177">
        <w:rPr>
          <w:rFonts w:ascii="Times New Roman" w:hAnsi="Times New Roman" w:cs="Times New Roman"/>
          <w:sz w:val="28"/>
        </w:rPr>
        <w:t xml:space="preserve"> городского округа  рекомендует:</w:t>
      </w:r>
    </w:p>
    <w:p w:rsidR="00594177" w:rsidRPr="00594177" w:rsidRDefault="00594177" w:rsidP="00594177">
      <w:pPr>
        <w:spacing w:after="930" w:line="240" w:lineRule="auto"/>
        <w:ind w:firstLine="740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Организовать деятельность специалистов образовательных организаций в области анализа и оценки образовательных результатов обучающихся при соблюдении следующих логически взаимосвязанных условий:</w:t>
      </w:r>
    </w:p>
    <w:p w:rsidR="00594177" w:rsidRPr="00594177" w:rsidRDefault="00594177" w:rsidP="00594177">
      <w:pPr>
        <w:numPr>
          <w:ilvl w:val="0"/>
          <w:numId w:val="1"/>
        </w:numPr>
        <w:spacing w:after="65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lastRenderedPageBreak/>
        <w:t>Определить</w:t>
      </w:r>
      <w:r w:rsidRPr="00594177">
        <w:rPr>
          <w:rFonts w:ascii="Times New Roman" w:hAnsi="Times New Roman" w:cs="Times New Roman"/>
          <w:sz w:val="28"/>
        </w:rPr>
        <w:tab/>
        <w:t xml:space="preserve">источники информации о </w:t>
      </w:r>
      <w:proofErr w:type="gramStart"/>
      <w:r w:rsidRPr="00594177">
        <w:rPr>
          <w:rFonts w:ascii="Times New Roman" w:hAnsi="Times New Roman" w:cs="Times New Roman"/>
          <w:sz w:val="28"/>
        </w:rPr>
        <w:t>достигнутых</w:t>
      </w:r>
      <w:proofErr w:type="gramEnd"/>
      <w:r w:rsidRPr="00594177">
        <w:rPr>
          <w:rFonts w:ascii="Times New Roman" w:hAnsi="Times New Roman" w:cs="Times New Roman"/>
          <w:sz w:val="28"/>
        </w:rPr>
        <w:t xml:space="preserve"> предметных,</w:t>
      </w:r>
    </w:p>
    <w:p w:rsidR="00594177" w:rsidRPr="00594177" w:rsidRDefault="00594177" w:rsidP="00594177">
      <w:pPr>
        <w:ind w:right="4" w:firstLine="740"/>
        <w:rPr>
          <w:rFonts w:ascii="Times New Roman" w:hAnsi="Times New Roman" w:cs="Times New Roman"/>
          <w:sz w:val="28"/>
        </w:rPr>
      </w:pPr>
      <w:proofErr w:type="spellStart"/>
      <w:r w:rsidRPr="00594177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594177">
        <w:rPr>
          <w:rFonts w:ascii="Times New Roman" w:hAnsi="Times New Roman" w:cs="Times New Roman"/>
          <w:sz w:val="28"/>
        </w:rPr>
        <w:t xml:space="preserve"> и личностных </w:t>
      </w:r>
      <w:proofErr w:type="gramStart"/>
      <w:r w:rsidRPr="00594177">
        <w:rPr>
          <w:rFonts w:ascii="Times New Roman" w:hAnsi="Times New Roman" w:cs="Times New Roman"/>
          <w:sz w:val="28"/>
        </w:rPr>
        <w:t>результатах</w:t>
      </w:r>
      <w:proofErr w:type="gramEnd"/>
      <w:r w:rsidRPr="00594177">
        <w:rPr>
          <w:rFonts w:ascii="Times New Roman" w:hAnsi="Times New Roman" w:cs="Times New Roman"/>
          <w:sz w:val="28"/>
        </w:rPr>
        <w:t>;</w:t>
      </w:r>
    </w:p>
    <w:p w:rsidR="00594177" w:rsidRPr="00594177" w:rsidRDefault="00594177" w:rsidP="00594177">
      <w:pPr>
        <w:numPr>
          <w:ilvl w:val="0"/>
          <w:numId w:val="1"/>
        </w:numPr>
        <w:spacing w:after="0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 xml:space="preserve">Систематически обрабатывать полученную информацию о </w:t>
      </w:r>
      <w:proofErr w:type="gramStart"/>
      <w:r w:rsidRPr="00594177">
        <w:rPr>
          <w:rFonts w:ascii="Times New Roman" w:hAnsi="Times New Roman" w:cs="Times New Roman"/>
          <w:sz w:val="28"/>
        </w:rPr>
        <w:t>предметных</w:t>
      </w:r>
      <w:proofErr w:type="gramEnd"/>
      <w:r w:rsidRPr="00594177">
        <w:rPr>
          <w:rFonts w:ascii="Times New Roman" w:hAnsi="Times New Roman" w:cs="Times New Roman"/>
          <w:sz w:val="28"/>
        </w:rPr>
        <w:t>,</w:t>
      </w:r>
    </w:p>
    <w:p w:rsidR="00594177" w:rsidRPr="00594177" w:rsidRDefault="00594177" w:rsidP="00594177">
      <w:pPr>
        <w:ind w:right="4" w:firstLine="740"/>
        <w:rPr>
          <w:rFonts w:ascii="Times New Roman" w:hAnsi="Times New Roman" w:cs="Times New Roman"/>
          <w:sz w:val="28"/>
        </w:rPr>
      </w:pPr>
      <w:proofErr w:type="spellStart"/>
      <w:r w:rsidRPr="00594177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594177">
        <w:rPr>
          <w:rFonts w:ascii="Times New Roman" w:hAnsi="Times New Roman" w:cs="Times New Roman"/>
          <w:sz w:val="28"/>
        </w:rPr>
        <w:t xml:space="preserve"> и личностных </w:t>
      </w:r>
      <w:proofErr w:type="gramStart"/>
      <w:r w:rsidRPr="00594177">
        <w:rPr>
          <w:rFonts w:ascii="Times New Roman" w:hAnsi="Times New Roman" w:cs="Times New Roman"/>
          <w:sz w:val="28"/>
        </w:rPr>
        <w:t>результатах</w:t>
      </w:r>
      <w:proofErr w:type="gramEnd"/>
      <w:r w:rsidRPr="00594177">
        <w:rPr>
          <w:rFonts w:ascii="Times New Roman" w:hAnsi="Times New Roman" w:cs="Times New Roman"/>
          <w:sz w:val="28"/>
        </w:rPr>
        <w:t>;</w:t>
      </w:r>
    </w:p>
    <w:p w:rsidR="00594177" w:rsidRPr="00594177" w:rsidRDefault="00594177" w:rsidP="00594177">
      <w:pPr>
        <w:numPr>
          <w:ilvl w:val="0"/>
          <w:numId w:val="1"/>
        </w:numPr>
        <w:spacing w:after="54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Определить и реализовать меры по обеспечению достоверности данных о полученных образовательных результатах;</w:t>
      </w:r>
    </w:p>
    <w:p w:rsidR="00594177" w:rsidRPr="00594177" w:rsidRDefault="00594177" w:rsidP="00594177">
      <w:pPr>
        <w:spacing w:after="79"/>
        <w:ind w:right="4" w:firstLine="740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070" cy="26035"/>
            <wp:effectExtent l="19050" t="0" r="5080" b="0"/>
            <wp:docPr id="37" name="Picture 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177">
        <w:rPr>
          <w:rFonts w:ascii="Times New Roman" w:hAnsi="Times New Roman" w:cs="Times New Roman"/>
          <w:sz w:val="28"/>
        </w:rPr>
        <w:t xml:space="preserve"> Выявлять одаренных учащихся, требующих дополнительных мер педагогической поддержки;</w:t>
      </w:r>
    </w:p>
    <w:p w:rsidR="00594177" w:rsidRPr="00594177" w:rsidRDefault="00594177" w:rsidP="00594177">
      <w:pPr>
        <w:numPr>
          <w:ilvl w:val="0"/>
          <w:numId w:val="1"/>
        </w:numPr>
        <w:spacing w:after="90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Выявлять «проблемных » учащихся, требующих особых мер педагогической поддержки;</w:t>
      </w:r>
    </w:p>
    <w:p w:rsidR="00594177" w:rsidRPr="00594177" w:rsidRDefault="00594177" w:rsidP="00594177">
      <w:pPr>
        <w:ind w:right="96" w:firstLine="740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070" cy="34290"/>
            <wp:effectExtent l="19050" t="0" r="5080" b="0"/>
            <wp:docPr id="38" name="Picture 2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3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177">
        <w:rPr>
          <w:rFonts w:ascii="Times New Roman" w:hAnsi="Times New Roman" w:cs="Times New Roman"/>
          <w:sz w:val="28"/>
        </w:rPr>
        <w:t xml:space="preserve"> Включать в отчёты педагогов о выполнении рабочих программ по предмету данные о том, какая часть учащихся достигла каждого из планируемых образовательных результатов;</w:t>
      </w:r>
    </w:p>
    <w:p w:rsidR="00594177" w:rsidRPr="00594177" w:rsidRDefault="00594177" w:rsidP="00594177">
      <w:pPr>
        <w:numPr>
          <w:ilvl w:val="0"/>
          <w:numId w:val="1"/>
        </w:numPr>
        <w:spacing w:after="57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Включать в отчёты учителей о выполнении рабочих программ, предложения о мерах по повышению качества образовательных результатов;</w:t>
      </w:r>
    </w:p>
    <w:p w:rsidR="00594177" w:rsidRPr="00594177" w:rsidRDefault="00594177" w:rsidP="00594177">
      <w:pPr>
        <w:numPr>
          <w:ilvl w:val="0"/>
          <w:numId w:val="1"/>
        </w:numPr>
        <w:spacing w:after="54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Использовать полученную информацию о достигнутых образовательных результатах для принятия управленческих решений;</w:t>
      </w:r>
    </w:p>
    <w:p w:rsidR="00594177" w:rsidRPr="00594177" w:rsidRDefault="00594177" w:rsidP="00594177">
      <w:pPr>
        <w:spacing w:after="77"/>
        <w:ind w:right="106" w:firstLine="740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070" cy="26035"/>
            <wp:effectExtent l="19050" t="0" r="5080" b="0"/>
            <wp:docPr id="39" name="Picture 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177">
        <w:rPr>
          <w:rFonts w:ascii="Times New Roman" w:hAnsi="Times New Roman" w:cs="Times New Roman"/>
          <w:sz w:val="28"/>
        </w:rPr>
        <w:t xml:space="preserve"> Обеспечить регулярное коллективное обсуждение образовательных результатов, предлагающее возможность альтернативных точек зрения и предложений по принятию управленческих решений;</w:t>
      </w:r>
    </w:p>
    <w:p w:rsidR="00594177" w:rsidRPr="00594177" w:rsidRDefault="00594177" w:rsidP="00594177">
      <w:pPr>
        <w:spacing w:after="69"/>
        <w:ind w:right="4" w:firstLine="740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070" cy="34290"/>
            <wp:effectExtent l="19050" t="0" r="5080" b="0"/>
            <wp:docPr id="40" name="Picture 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3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177">
        <w:rPr>
          <w:rFonts w:ascii="Times New Roman" w:hAnsi="Times New Roman" w:cs="Times New Roman"/>
          <w:sz w:val="28"/>
        </w:rPr>
        <w:t xml:space="preserve"> Обеспечить обсуждение достигнутых результатов с токи зрения их достаточности для решения значимых задач разных групп учащихся;</w:t>
      </w:r>
    </w:p>
    <w:p w:rsidR="00594177" w:rsidRPr="00594177" w:rsidRDefault="00594177" w:rsidP="00594177">
      <w:pPr>
        <w:numPr>
          <w:ilvl w:val="0"/>
          <w:numId w:val="1"/>
        </w:numPr>
        <w:spacing w:after="17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Обеспечить оценку достигнутых результатов с точки зрения развития познавательной самостоятельности учащихся;</w:t>
      </w:r>
    </w:p>
    <w:p w:rsidR="00594177" w:rsidRPr="00594177" w:rsidRDefault="00594177" w:rsidP="00594177">
      <w:pPr>
        <w:numPr>
          <w:ilvl w:val="0"/>
          <w:numId w:val="1"/>
        </w:numPr>
        <w:spacing w:after="17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Выявлять сильные и слабые стороны школы за счёт сравнения достигнутых результатов с результатами других школ одного образовательного округа, с районными показателями;</w:t>
      </w:r>
    </w:p>
    <w:p w:rsidR="00594177" w:rsidRPr="00594177" w:rsidRDefault="00594177" w:rsidP="00594177">
      <w:pPr>
        <w:numPr>
          <w:ilvl w:val="0"/>
          <w:numId w:val="1"/>
        </w:numPr>
        <w:spacing w:after="17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Выявлять внутренние и внешние факторы, способствующие достижению высоких результатов;</w:t>
      </w:r>
    </w:p>
    <w:p w:rsidR="00594177" w:rsidRPr="00594177" w:rsidRDefault="00594177" w:rsidP="00594177">
      <w:pPr>
        <w:numPr>
          <w:ilvl w:val="0"/>
          <w:numId w:val="1"/>
        </w:numPr>
        <w:spacing w:after="17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>Выявлять внутренние и внешние факторы, создающие риск получения низких результатов.</w:t>
      </w:r>
    </w:p>
    <w:p w:rsidR="00594177" w:rsidRPr="00594177" w:rsidRDefault="00594177" w:rsidP="00594177">
      <w:pPr>
        <w:numPr>
          <w:ilvl w:val="0"/>
          <w:numId w:val="1"/>
        </w:numPr>
        <w:spacing w:after="17" w:line="259" w:lineRule="auto"/>
        <w:ind w:left="0" w:right="4" w:firstLine="740"/>
        <w:jc w:val="both"/>
        <w:rPr>
          <w:rFonts w:ascii="Times New Roman" w:hAnsi="Times New Roman" w:cs="Times New Roman"/>
          <w:sz w:val="28"/>
        </w:rPr>
      </w:pPr>
      <w:r w:rsidRPr="00594177">
        <w:rPr>
          <w:rFonts w:ascii="Times New Roman" w:hAnsi="Times New Roman" w:cs="Times New Roman"/>
          <w:sz w:val="28"/>
        </w:rPr>
        <w:t xml:space="preserve">Осуществлять постоянный </w:t>
      </w:r>
      <w:proofErr w:type="gramStart"/>
      <w:r w:rsidRPr="00594177">
        <w:rPr>
          <w:rFonts w:ascii="Times New Roman" w:hAnsi="Times New Roman" w:cs="Times New Roman"/>
          <w:sz w:val="28"/>
        </w:rPr>
        <w:t>контроль за</w:t>
      </w:r>
      <w:proofErr w:type="gramEnd"/>
      <w:r w:rsidRPr="00594177">
        <w:rPr>
          <w:rFonts w:ascii="Times New Roman" w:hAnsi="Times New Roman" w:cs="Times New Roman"/>
          <w:sz w:val="28"/>
        </w:rPr>
        <w:t xml:space="preserve"> организацией образовательного процесса.</w:t>
      </w:r>
    </w:p>
    <w:p w:rsidR="001F5CB5" w:rsidRPr="00594177" w:rsidRDefault="001F5CB5" w:rsidP="00594177">
      <w:pPr>
        <w:ind w:firstLine="740"/>
        <w:rPr>
          <w:rFonts w:ascii="Times New Roman" w:hAnsi="Times New Roman" w:cs="Times New Roman"/>
          <w:sz w:val="28"/>
        </w:rPr>
      </w:pPr>
    </w:p>
    <w:sectPr w:rsidR="001F5CB5" w:rsidRPr="00594177" w:rsidSect="001F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0FE3"/>
    <w:multiLevelType w:val="hybridMultilevel"/>
    <w:tmpl w:val="6BFAC726"/>
    <w:lvl w:ilvl="0" w:tplc="B0DECB5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606AAD4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A81614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010D2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F4897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2C8C0E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EA2DB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566EF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AC597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4177"/>
    <w:rsid w:val="001F5CB5"/>
    <w:rsid w:val="0059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77"/>
  </w:style>
  <w:style w:type="paragraph" w:styleId="2">
    <w:name w:val="heading 2"/>
    <w:basedOn w:val="a"/>
    <w:next w:val="a"/>
    <w:link w:val="20"/>
    <w:qFormat/>
    <w:rsid w:val="005941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41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2023-09-25T19:47:00Z</dcterms:created>
  <dcterms:modified xsi:type="dcterms:W3CDTF">2023-09-25T19:49:00Z</dcterms:modified>
</cp:coreProperties>
</file>