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15.11.2023 N 863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(наплавки)"</w:t>
              <w:br/>
              <w:t xml:space="preserve">(Зарегистрировано в Минюсте России 15.12.2023 N 76433)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15 декабря 2023 г. N 76433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ноября 2023 г. N 863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15.01.05</w:t>
      </w:r>
    </w:p>
    <w:p>
      <w:pPr>
        <w:pStyle w:val="2"/>
        <w:jc w:val="center"/>
      </w:pPr>
      <w:r>
        <w:rPr>
          <w:sz w:val="20"/>
        </w:rPr>
        <w:t xml:space="preserve">СВАРЩИК (РУЧНОЙ И ЧАСТИЧНО МЕХАНИЗИРОВАННОЙ</w:t>
      </w:r>
    </w:p>
    <w:p>
      <w:pPr>
        <w:pStyle w:val="2"/>
        <w:jc w:val="center"/>
      </w:pPr>
      <w:r>
        <w:rPr>
          <w:sz w:val="20"/>
        </w:rPr>
        <w:t xml:space="preserve">СВАРКИ (НАПЛАВКИ)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28.07.2018 N 884 (ред. от 12.10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8" w:tooltip="Постановление Правительства РФ от 12.04.2019 N 434 (ред. от 22.10.2021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9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15.01.05</w:t>
        </w:r>
      </w:hyperlink>
      <w:r>
        <w:rPr>
          <w:sz w:val="20"/>
        </w:rPr>
        <w:t xml:space="preserve"> Сварщик (ручной и частично механизированной сварки (наплавки) (далее - стандарт).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3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29.01.2016 N 50 (ред. от 01.09.2022) &quot;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&quot; (Зарегистрировано в Минюсте России 24.02.2016 N 4119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профессии </w:t>
      </w:r>
      <w:hyperlink w:history="0" r:id="rId11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15.01.05</w:t>
        </w:r>
      </w:hyperlink>
      <w:r>
        <w:rPr>
          <w:sz w:val="20"/>
        </w:rPr>
        <w:t xml:space="preserve"> Сварщик (ручной и частично механизированной сварки (наплавки), утвержденным приказом Министерства образования и науки Российской Федерации от 29 января 2016 г. N 50 (зарегистрирован Министерством юстиции Российской Федерации 24 февраля 2016 г., регистрационный N 41197), с изменениями, внесенными приказом Министерства образования и науки Российской Федерации от 14 сентября 2016 г. N 1193 (зарегистрирован Министерством юстиции Российской Федерации 5 октября 2016 г., регистрационный N 43932) 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ноября 2023 г. N 863</w:t>
      </w:r>
    </w:p>
    <w:p>
      <w:pPr>
        <w:pStyle w:val="0"/>
        <w:jc w:val="both"/>
      </w:pPr>
      <w:r>
        <w:rPr>
          <w:sz w:val="20"/>
        </w:rPr>
      </w:r>
    </w:p>
    <w:bookmarkStart w:id="33" w:name="P33"/>
    <w:bookmarkEnd w:id="33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ПРОФЕССИИ 15.01.05</w:t>
      </w:r>
    </w:p>
    <w:p>
      <w:pPr>
        <w:pStyle w:val="2"/>
        <w:jc w:val="center"/>
      </w:pPr>
      <w:r>
        <w:rPr>
          <w:sz w:val="20"/>
        </w:rPr>
        <w:t xml:space="preserve">СВАРЩИК (РУЧНОЙ И ЧАСТИЧНО МЕХАНИЗИРОВАННОЙ</w:t>
      </w:r>
    </w:p>
    <w:p>
      <w:pPr>
        <w:pStyle w:val="2"/>
        <w:jc w:val="center"/>
      </w:pPr>
      <w:r>
        <w:rPr>
          <w:sz w:val="20"/>
        </w:rPr>
        <w:t xml:space="preserve">СВАРКИ (НАПЛАВКИ)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</w:t>
      </w:r>
      <w:hyperlink w:history="0" r:id="rId12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15.01.05</w:t>
        </w:r>
      </w:hyperlink>
      <w:r>
        <w:rPr>
          <w:sz w:val="20"/>
        </w:rPr>
        <w:t xml:space="preserve"> Сварщик (ручной и частично механизированной сварки (наплавки) (далее соответственно - ФГОС СПО, образовательная программа, профессия) в соответствии с квалификацией квалифицированного рабочего, служащего "сварщик"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25.09.2023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профессий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 и ФГОС СПО с учетом получаемой профессии.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 и очно-заочной формах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работы. &lt;3&gt;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2" w:name="P62"/>
    <w:bookmarkEnd w:id="62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среднего общего образования - 10 месяцев;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базе основного общего образования - 1 год 10 месяцев.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форме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форме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2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bookmarkStart w:id="70" w:name="P70"/>
    <w:bookmarkEnd w:id="70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8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40</w:t>
        </w:r>
      </w:hyperlink>
      <w:r>
        <w:rPr>
          <w:sz w:val="20"/>
        </w:rPr>
        <w:t xml:space="preserve"> Сквозные виды профессиональной деятельности в промышленности &lt;5&gt;.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1.14.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6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6" w:name="P86"/>
    <w:bookmarkEnd w:id="86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92"/>
        <w:gridCol w:w="4479"/>
      </w:tblGrid>
      <w:tr>
        <w:tc>
          <w:tcPr>
            <w:tcW w:w="459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в академических часах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612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540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36</w:t>
            </w:r>
          </w:p>
        </w:tc>
      </w:tr>
      <w:tr>
        <w:tc>
          <w:tcPr>
            <w:gridSpan w:val="2"/>
            <w:tcW w:w="907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1476</w:t>
            </w:r>
          </w:p>
        </w:tc>
      </w:tr>
      <w:tr>
        <w:tc>
          <w:tcPr>
            <w:tcW w:w="459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</w:t>
            </w:r>
            <w:hyperlink w:history="0" r:id="rId20" w:tooltip="Приказ Минобрнауки России от 17.05.2012 N 413 (ред. от 12.08.2022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sz w:val="20"/>
                  <w:color w:val="0000ff"/>
                </w:rPr>
                <w:t xml:space="preserve">стандарта</w:t>
              </w:r>
            </w:hyperlink>
            <w:r>
              <w:rPr>
                <w:sz w:val="20"/>
              </w:rPr>
              <w:t xml:space="preserve"> среднего общего образования</w:t>
            </w:r>
          </w:p>
        </w:tc>
        <w:tc>
          <w:tcPr>
            <w:tcW w:w="447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4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80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20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2" w:name="P112"/>
    <w:bookmarkEnd w:id="112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подготовительных, сборочных операций перед сваркой и контроль сварных соединений;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ручной дуговой сварки (наплавка, резка) плавящимся покрытым электродом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частично механизированной сварки (наплавки) плавлением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ручной дуговой сварки (наплавки) неплавящимся электродом в защитном газе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сварки ручным способом с внешним источником нагрева и экструзионной сварки различных деталей из полимерных материалов (по выбору);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выполнение операций термитной сварки (по выбору).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 не менее 25 процентов - в очно-заочной форме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грамотности", "Основы бережливого производства".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часов,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"Основы инженерной графики", "Основы электротехники", "Материаловедение", "Допуски и технические измерения".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5 зачетных единиц.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квалифицированного рабочего, служащего, указанной в </w:t>
      </w:r>
      <w:hyperlink w:history="0" w:anchor="P40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квалифицированных рабочих, служащих по профессии 15.01.05 Сварщик (ручной и частично механизированной сварки (наплавки) (далее соответственно - ФГОС СПО, образовательная программа, профессия) в соответствии с квалификацией квалифицированного раб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4" w:name="P134"/>
    <w:bookmarkEnd w:id="134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35"/>
        <w:gridCol w:w="6236"/>
      </w:tblGrid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подготовительных сборочных операций перед сваркой и контроль сварных соединений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Проводить сборочные операции перед сваркой с использованием конструкторской, производственно-технологической и нормативной документации.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Выбирать пространственное положение сварного шва для сварки элементов конструкции (изделий, узлов, деталей).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Применять сборочные приспособления для сборки элементов конструкции (изделий, узлов, деталей) под сварку.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Проводить подготовку элементов конструкции (изделий, узлов, деталей) под сварку, зачистку сварных швов и удаление поверхностных дефектов после сварки с использованием ручного и механизированного инструмента.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Проводить контроль собранных элементов конструкции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сварке.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ручной дуговой сварки (наплавка, резка) плавящимся покрытым электродом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X.1. Проверять работоспособность и исправность сварочного оборудования для ручной дуговой сварки (наплавка, резка) плавящимся покрытым электродом.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X.2. Настраивать сварочное оборудование для ручной дуговой сварки (наплавки, резки) плавящимся покрытым электродом.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X.4. Выполнять ручную дуговую сварку (наплавку, резку) плавящимся покрытым электродом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X.5. Выполнять дуговую резку металла</w:t>
            </w:r>
          </w:p>
        </w:tc>
      </w:tr>
      <w:tr>
        <w:tc>
          <w:tcPr>
            <w:tcW w:w="2835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выполнение частично механизированной сварки (наплавки) плавлением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X.1. Настраивать сварочное оборудование для частично механизированной сварки (наплавки) плавлением.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X.2.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X.3. 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ручной дуговой сварки (наплавки) неплавящимся электродом в защитном газе (по выбору)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X.1. Проверять работоспособность и исправность оборудования для ручной дуговой сварки (наплавки) неплавящимся электродом в защитном газе.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X.2. Настраивать сварочное оборудование для ручной дуговой сварки (наплавки) неплавящимся электродом в защитном газе.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X.3. Выполнять предварительный, сопутствующий (межслойный) подогрев металла в соответствии с требованиями производственно-технологической документации по сварке.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X.4. Выполнять ручную дуговую сварку (наплавку) неплавящимся электродом в защитном газе простых деталей неответственных конструкций в нижнем, вертикальном и горизонтальном пространственном положении сварного шва.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сварки ручным способом с внешним источником нагрева и экструзионной сварки различных деталей из полимерных материалов (по выбору)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X.1. Подготавливать и проверять применяемые для сварки ручным способом с внешним источником нагрева (сварки нагретым газом), сварки нагретым инструментом, экструзионной сварки материалы (газ- теплоноситель, присадочные прутки, пленки, листы, полимерные трубы и стыковочные элементы (муфты, тройники и так далее).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X.2. Проверять работоспособность и исправность оборудования для сварки ручным способом с внешним источником нагрева (сварки нагретым газом), сварки нагретым инструментом, экструзионной сварки.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X.3. Настраивать сварочное оборудование для сварки ручным способом с внешним источником нагрева (сварки нагретым газом), сварки нагретым инструментом, экструзионной сварки.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X.4. Устанавливать свариваемые детали в технологические приспособления с последующим контролем.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X.5. Выполнять сварку ручным способом с внешним источником нагрева (сварку нагретым газом), сварку нагретым инструментом, экструзионную сварку стыковых, нахлесточных, угловых и тавровых сварных соединений простых деталей неответственных конструкций.</w:t>
            </w:r>
          </w:p>
        </w:tc>
      </w:tr>
      <w:tr>
        <w:tc>
          <w:tcPr>
            <w:tcW w:w="2835" w:type="dxa"/>
          </w:tcPr>
          <w:p>
            <w:pPr>
              <w:pStyle w:val="0"/>
            </w:pPr>
            <w:r>
              <w:rPr>
                <w:sz w:val="20"/>
              </w:rPr>
              <w:t xml:space="preserve">выполнение операций термитной сварки (по выбору)</w:t>
            </w:r>
          </w:p>
        </w:tc>
        <w:tc>
          <w:tcPr>
            <w:tcW w:w="6236" w:type="dxa"/>
            <w:vAlign w:val="center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X.1. Изготавливать паяльно-сварочные стержни и термитную смесь, соответствующие типу свариваемых деталей.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X.2. Выполнять сборку деталей для термитной сварки с использованием различных универсальных, специальных приспособлений и оснастки.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X.3. Выполнять термитную сварку с использованием огнеупорных и формовочных материалов.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X.4. Выполнять термитную сварку простых деталей неответственных конструкций.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X.5. Демонтировать универсальные, специальные приспособления и оснастку после термитной сварки.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установленными в соответствии с </w:t>
      </w:r>
      <w:hyperlink w:history="0" w:anchor="P112" w:tooltip="2.4. Образовательная программа разрабатывается образовательной организацией в соответствии с ФГОС СПО и с учетом ПОП и предполагает освоение не менее трех видов деятельности, самостоятельно выбранных образовательной организацией из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&lt;6&gt;.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1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&lt;7&gt;.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Федеральный </w:t>
      </w:r>
      <w:hyperlink w:history="0" r:id="rId22" w:tooltip="Федеральный закон от 30.03.1999 N 52-ФЗ (ред. от 24.07.2023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3" w:tooltip="Постановление Главного государственного санитарного врача РФ от 28.09.2020 N 28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4" w:tooltip="Постановление Главного государственного санитарного врача РФ от 27.10.2020 N 32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5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0" w:tooltip="1.13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40 Сквозные виды профессиональной деятельности в промышленности &lt;5&gt;.">
        <w:r>
          <w:rPr>
            <w:sz w:val="20"/>
            <w:color w:val="0000ff"/>
          </w:rPr>
          <w:t xml:space="preserve">пункте 1.13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&lt;8&gt; и Федеральным </w:t>
      </w:r>
      <w:hyperlink w:history="0" r:id="rId26" w:tooltip="Федеральный закон от 29.12.2012 N 273-ФЗ (ред. от 19.12.2023) &quot;Об образовании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Бюджетный </w:t>
      </w:r>
      <w:hyperlink w:history="0" r:id="rId27" w:tooltip="&quot;Бюджетный кодекс Российской Федерации&quot; от 31.07.1998 N 145-ФЗ (ред. от 02.11.2023) ------------ Недействующая редакция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15.11.2023 N 863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ZB&amp;n=459594&amp;dst=100051" TargetMode = "External"/>
	<Relationship Id="rId8" Type="http://schemas.openxmlformats.org/officeDocument/2006/relationships/hyperlink" Target="https://login.consultant.ru/link/?req=doc&amp;base=RZB&amp;n=399342&amp;dst=100072" TargetMode = "External"/>
	<Relationship Id="rId9" Type="http://schemas.openxmlformats.org/officeDocument/2006/relationships/hyperlink" Target="https://login.consultant.ru/link/?req=doc&amp;base=RZB&amp;n=460964&amp;dst=101529" TargetMode = "External"/>
	<Relationship Id="rId10" Type="http://schemas.openxmlformats.org/officeDocument/2006/relationships/hyperlink" Target="https://login.consultant.ru/link/?req=doc&amp;base=RZB&amp;n=429109&amp;dst=100014" TargetMode = "External"/>
	<Relationship Id="rId11" Type="http://schemas.openxmlformats.org/officeDocument/2006/relationships/hyperlink" Target="https://login.consultant.ru/link/?req=doc&amp;base=RZB&amp;n=460964&amp;dst=354" TargetMode = "External"/>
	<Relationship Id="rId12" Type="http://schemas.openxmlformats.org/officeDocument/2006/relationships/hyperlink" Target="https://login.consultant.ru/link/?req=doc&amp;base=RZB&amp;n=460964&amp;dst=101529" TargetMode = "External"/>
	<Relationship Id="rId13" Type="http://schemas.openxmlformats.org/officeDocument/2006/relationships/hyperlink" Target="https://login.consultant.ru/link/?req=doc&amp;base=RZB&amp;n=460964&amp;dst=100562" TargetMode = "External"/>
	<Relationship Id="rId14" Type="http://schemas.openxmlformats.org/officeDocument/2006/relationships/hyperlink" Target="https://login.consultant.ru/link/?req=doc&amp;base=RZB&amp;n=426546&amp;dst=4" TargetMode = "External"/>
	<Relationship Id="rId15" Type="http://schemas.openxmlformats.org/officeDocument/2006/relationships/hyperlink" Target="https://login.consultant.ru/link/?req=doc&amp;base=RZB&amp;n=426546&amp;dst=4" TargetMode = "External"/>
	<Relationship Id="rId16" Type="http://schemas.openxmlformats.org/officeDocument/2006/relationships/hyperlink" Target="https://login.consultant.ru/link/?req=doc&amp;base=RZB&amp;n=464877&amp;dst=774" TargetMode = "External"/>
	<Relationship Id="rId17" Type="http://schemas.openxmlformats.org/officeDocument/2006/relationships/hyperlink" Target="https://login.consultant.ru/link/?req=doc&amp;base=RZB&amp;n=464877&amp;dst=100249" TargetMode = "External"/>
	<Relationship Id="rId18" Type="http://schemas.openxmlformats.org/officeDocument/2006/relationships/hyperlink" Target="https://login.consultant.ru/link/?req=doc&amp;base=RZB&amp;n=214720&amp;dst=100116" TargetMode = "External"/>
	<Relationship Id="rId19" Type="http://schemas.openxmlformats.org/officeDocument/2006/relationships/hyperlink" Target="https://login.consultant.ru/link/?req=doc&amp;base=RZB&amp;n=214720&amp;dst=100047" TargetMode = "External"/>
	<Relationship Id="rId20" Type="http://schemas.openxmlformats.org/officeDocument/2006/relationships/hyperlink" Target="https://login.consultant.ru/link/?req=doc&amp;base=RZB&amp;n=426546&amp;dst=4" TargetMode = "External"/>
	<Relationship Id="rId21" Type="http://schemas.openxmlformats.org/officeDocument/2006/relationships/hyperlink" Target="https://login.consultant.ru/link/?req=doc&amp;base=RZB&amp;n=464877&amp;dst=415" TargetMode = "External"/>
	<Relationship Id="rId22" Type="http://schemas.openxmlformats.org/officeDocument/2006/relationships/hyperlink" Target="https://login.consultant.ru/link/?req=doc&amp;base=RZB&amp;n=452886" TargetMode = "External"/>
	<Relationship Id="rId23" Type="http://schemas.openxmlformats.org/officeDocument/2006/relationships/hyperlink" Target="https://login.consultant.ru/link/?req=doc&amp;base=RZB&amp;n=371594&amp;dst=100047" TargetMode = "External"/>
	<Relationship Id="rId24" Type="http://schemas.openxmlformats.org/officeDocument/2006/relationships/hyperlink" Target="https://login.consultant.ru/link/?req=doc&amp;base=RZB&amp;n=367564&amp;dst=100037" TargetMode = "External"/>
	<Relationship Id="rId25" Type="http://schemas.openxmlformats.org/officeDocument/2006/relationships/hyperlink" Target="https://login.consultant.ru/link/?req=doc&amp;base=RZB&amp;n=441707&amp;dst=100137" TargetMode = "External"/>
	<Relationship Id="rId26" Type="http://schemas.openxmlformats.org/officeDocument/2006/relationships/hyperlink" Target="https://login.consultant.ru/link/?req=doc&amp;base=RZB&amp;n=464877" TargetMode = "External"/>
	<Relationship Id="rId27" Type="http://schemas.openxmlformats.org/officeDocument/2006/relationships/hyperlink" Target="https://login.consultant.ru/link/?req=doc&amp;base=RZB&amp;n=46108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4023.00.50</Application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15.11.2023 N 863
"Об утверждении федерального государственного образовательного стандарта среднего профессионального образования по профессии 15.01.05 Сварщик (ручной и частично механизированной сварки (наплавки)"
(Зарегистрировано в Минюсте России 15.12.2023 N 76433)</dc:title>
  <dcterms:created xsi:type="dcterms:W3CDTF">2024-01-15T12:20:31Z</dcterms:created>
</cp:coreProperties>
</file>