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31"/>
        <w:tblW w:w="0" w:type="auto"/>
        <w:tblInd w:w="3794" w:type="dxa"/>
        <w:tblLook w:val="04A0" w:firstRow="1" w:lastRow="0" w:firstColumn="1" w:lastColumn="0" w:noHBand="0" w:noVBand="1"/>
      </w:tblPr>
      <w:tblGrid>
        <w:gridCol w:w="5551"/>
      </w:tblGrid>
      <w:tr>
        <w:tblPrEx/>
        <w:trPr>
          <w:trHeight w:val="983"/>
        </w:trPr>
        <w:tc>
          <w:tcPr>
            <w:tcW w:w="57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ДОКУМЕНТ ПОДПИСАН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ЭЛЕКТРОННОЙ ПОДПИСЬЮ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Сертификат </w:t>
            </w:r>
            <w:r>
              <w:rPr>
                <w:rFonts w:ascii="Times New Roman" w:hAnsi="Times New Roman"/>
              </w:rPr>
              <w:t xml:space="preserve">46744853435082515723518274632733096339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Владелец </w:t>
            </w:r>
            <w:r>
              <w:rPr>
                <w:rFonts w:ascii="Times New Roman" w:hAnsi="Times New Roman"/>
                <w:b/>
              </w:rPr>
              <w:t xml:space="preserve">Чуркин Дмитрий Владимирович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Действителен по 13 ноября 2025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Пр. №134 от 17.06.2021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0"/>
        <w:ind w:firstLine="709"/>
        <w:jc w:val="center"/>
        <w:tabs>
          <w:tab w:val="left" w:pos="1418" w:leader="none"/>
        </w:tabs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 xml:space="preserve">о текущем контроле успеваемости и промежуточной аттестации учащихся </w:t>
      </w:r>
      <w:r>
        <w:rPr>
          <w:rFonts w:eastAsia="Times New Roman"/>
          <w:bCs/>
          <w:sz w:val="28"/>
          <w:szCs w:val="28"/>
        </w:rPr>
        <w:t xml:space="preserve">муниципального бюджетного общеобразовательного учреждения </w:t>
      </w:r>
      <w:r>
        <w:rPr>
          <w:rFonts w:eastAsia="Times New Roman"/>
          <w:bCs/>
          <w:sz w:val="28"/>
          <w:szCs w:val="28"/>
        </w:rPr>
      </w:r>
    </w:p>
    <w:p>
      <w:pPr>
        <w:pStyle w:val="630"/>
        <w:ind w:firstLine="709"/>
        <w:jc w:val="center"/>
        <w:tabs>
          <w:tab w:val="left" w:pos="1418" w:leader="none"/>
        </w:tabs>
        <w:rPr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средней общеобразовательной школы № 24</w:t>
      </w:r>
      <w:r>
        <w:rPr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их формы, периодичности и порядка проведения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</w:t>
      </w:r>
      <w:r>
        <w:rPr>
          <w:rFonts w:ascii="Times New Roman" w:hAnsi="Times New Roman" w:cs="Times New Roman"/>
          <w:sz w:val="28"/>
          <w:szCs w:val="28"/>
        </w:rPr>
        <w:t xml:space="preserve">оложение разработано в соответствии с Федеральнымзаконом от 29 декабря 2012 г. № 273-ФЗ «Об образовании в Российской Федерации»,  Приказом Министерства образования и науки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и Уст</w:t>
      </w:r>
      <w:r>
        <w:rPr>
          <w:rFonts w:ascii="Times New Roman" w:hAnsi="Times New Roman" w:cs="Times New Roman"/>
          <w:sz w:val="28"/>
          <w:szCs w:val="28"/>
        </w:rPr>
        <w:t xml:space="preserve">авом муниципального бюджетного общеобразовательного учреждения средней общеобразовательной школы №  24 (далее – Устав)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Настоящее Положение о </w:t>
      </w:r>
      <w:r>
        <w:rPr>
          <w:rFonts w:ascii="Times New Roman" w:hAnsi="Times New Roman" w:cs="Times New Roman"/>
          <w:sz w:val="28"/>
          <w:szCs w:val="28"/>
        </w:rPr>
        <w:t xml:space="preserve">текущем контроле успеваемости и </w:t>
      </w:r>
      <w:r>
        <w:rPr>
          <w:rFonts w:ascii="Times New Roman" w:hAnsi="Times New Roman" w:cs="Times New Roman"/>
          <w:sz w:val="28"/>
          <w:szCs w:val="28"/>
        </w:rPr>
        <w:t xml:space="preserve">промежуточной аттестации учащихся</w:t>
      </w:r>
      <w:r>
        <w:rPr>
          <w:rFonts w:ascii="Times New Roman" w:hAnsi="Times New Roman" w:cs="Times New Roman"/>
          <w:sz w:val="28"/>
          <w:szCs w:val="28"/>
        </w:rPr>
        <w:t xml:space="preserve">, их формы, периодичность </w:t>
      </w:r>
      <w:r>
        <w:rPr>
          <w:rFonts w:ascii="Times New Roman" w:hAnsi="Times New Roman" w:cs="Times New Roman"/>
          <w:sz w:val="28"/>
          <w:szCs w:val="28"/>
        </w:rPr>
        <w:t xml:space="preserve"> и порядок проведения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Положение) является локальным нормативным актом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средней общеобразовательной школы №  24 (далее - школа</w:t>
      </w:r>
      <w:r>
        <w:rPr>
          <w:rFonts w:ascii="Times New Roman" w:hAnsi="Times New Roman" w:cs="Times New Roman"/>
          <w:sz w:val="28"/>
          <w:szCs w:val="28"/>
        </w:rPr>
        <w:t xml:space="preserve">), регулирующим периодичность, порядок,  систему оценок и формы проведения </w:t>
      </w:r>
      <w:r>
        <w:rPr>
          <w:rFonts w:ascii="Times New Roman" w:hAnsi="Times New Roman" w:cs="Times New Roman"/>
          <w:sz w:val="28"/>
          <w:szCs w:val="28"/>
        </w:rPr>
        <w:t xml:space="preserve">текущего контроля успеваемости учащихся и их </w:t>
      </w:r>
      <w:r>
        <w:rPr>
          <w:rFonts w:ascii="Times New Roman" w:hAnsi="Times New Roman" w:cs="Times New Roman"/>
          <w:sz w:val="28"/>
          <w:szCs w:val="28"/>
        </w:rPr>
        <w:t xml:space="preserve">промежуточной аттестации.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Освоение образовательной программы, в том числе отдельной части или всего о</w:t>
      </w:r>
      <w:r>
        <w:rPr>
          <w:rFonts w:ascii="Times New Roman" w:hAnsi="Times New Roman" w:cs="Times New Roman"/>
          <w:sz w:val="28"/>
          <w:szCs w:val="28"/>
        </w:rPr>
        <w:t xml:space="preserve">бъема учебного предмета, курса </w:t>
      </w:r>
      <w:r>
        <w:rPr>
          <w:rFonts w:ascii="Times New Roman" w:hAnsi="Times New Roman" w:cs="Times New Roman"/>
          <w:sz w:val="28"/>
          <w:szCs w:val="28"/>
        </w:rPr>
        <w:t xml:space="preserve">сопровождается текущим контролем успеваемости и промежуточной аттестацией учащихся.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</w:t>
      </w:r>
      <w:r>
        <w:rPr>
          <w:rFonts w:ascii="Times New Roman" w:hAnsi="Times New Roman" w:cs="Times New Roman"/>
          <w:sz w:val="28"/>
          <w:szCs w:val="28"/>
        </w:rPr>
        <w:t xml:space="preserve">ии с образовательной программой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</w:t>
      </w:r>
      <w:r>
        <w:rPr>
          <w:rFonts w:ascii="Times New Roman" w:hAnsi="Times New Roman" w:cs="Times New Roman"/>
          <w:sz w:val="28"/>
          <w:szCs w:val="28"/>
        </w:rPr>
        <w:t xml:space="preserve">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 результатов освоения основных общеобразовательных программ, предусмотренных федеральными государственными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образовательными стандартами начального общего, основного общего и среднего общего образования (далее – ФГОС).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Промежуточная аттестация – это установление уровня достижения результатов освоения учебных предметов, курсов, дисциплин (модулей), предусмотренных  образовательной программой.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проводится </w:t>
      </w:r>
      <w:r>
        <w:rPr>
          <w:rFonts w:ascii="Times New Roman" w:hAnsi="Times New Roman" w:cs="Times New Roman"/>
          <w:sz w:val="28"/>
          <w:szCs w:val="28"/>
        </w:rPr>
        <w:t xml:space="preserve">во 2 – 8 и 10 классах.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проводится по учебным предметам, курсам, по которым образовательной программой предусмотрено прове</w:t>
      </w:r>
      <w:r>
        <w:rPr>
          <w:rFonts w:ascii="Times New Roman" w:hAnsi="Times New Roman" w:cs="Times New Roman"/>
          <w:sz w:val="28"/>
          <w:szCs w:val="28"/>
        </w:rPr>
        <w:t xml:space="preserve">дение промежуточной аттестации по графику, принятому решением Педагогического совета и утвержденным директором школы.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Содержание и порядок проведения текущего контроля успеваемости учащихся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Текущий контроль успеваемости учащихся проводится в течение учебного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(четверти</w:t>
      </w:r>
      <w:r>
        <w:rPr>
          <w:rFonts w:ascii="Times New Roman" w:hAnsi="Times New Roman" w:cs="Times New Roman"/>
          <w:sz w:val="28"/>
          <w:szCs w:val="28"/>
        </w:rPr>
        <w:t xml:space="preserve">), а так же по окончании четверти </w:t>
      </w:r>
      <w:r>
        <w:rPr>
          <w:rFonts w:ascii="Times New Roman" w:hAnsi="Times New Roman" w:cs="Times New Roman"/>
          <w:sz w:val="28"/>
          <w:szCs w:val="28"/>
        </w:rPr>
        <w:t xml:space="preserve">в целях: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numPr>
          <w:ilvl w:val="0"/>
          <w:numId w:val="2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контроля уровня достижения учащимися результатов, предусмотренных образовательной программой;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numPr>
          <w:ilvl w:val="0"/>
          <w:numId w:val="2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оценки соответствия результатов освоения образовательных программ  требованиям ФГОС;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numPr>
          <w:ilvl w:val="0"/>
          <w:numId w:val="2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учащимся самооценки, оценки его работы педагогическим работником с целью возможного совершенствования  образовательного процесса;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Текущий контроль осуществляется педагогическим работником, реализующим соответствующую часть образовательной программы.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Порядок, формы, периодичность, количество обязательных мероприятий при проведении текущего контроля успеваемости учащихся определяются педагогическим работником с у</w:t>
      </w:r>
      <w:r>
        <w:rPr>
          <w:rFonts w:ascii="Times New Roman" w:hAnsi="Times New Roman" w:cs="Times New Roman"/>
          <w:sz w:val="28"/>
          <w:szCs w:val="28"/>
        </w:rPr>
        <w:t xml:space="preserve">четом образовательной прог</w:t>
      </w:r>
      <w:r>
        <w:rPr>
          <w:rFonts w:ascii="Times New Roman" w:hAnsi="Times New Roman" w:cs="Times New Roman"/>
          <w:sz w:val="28"/>
          <w:szCs w:val="28"/>
        </w:rPr>
        <w:t xml:space="preserve">раммы и отражаются в календарно–</w:t>
      </w:r>
      <w:r>
        <w:rPr>
          <w:rFonts w:ascii="Times New Roman" w:hAnsi="Times New Roman" w:cs="Times New Roman"/>
          <w:sz w:val="28"/>
          <w:szCs w:val="28"/>
        </w:rPr>
        <w:t xml:space="preserve">тематических планированиях и рабочих программах учителя.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Фиксация результатов те</w:t>
      </w:r>
      <w:r>
        <w:rPr>
          <w:rFonts w:ascii="Times New Roman" w:hAnsi="Times New Roman" w:cs="Times New Roman"/>
          <w:sz w:val="28"/>
          <w:szCs w:val="28"/>
        </w:rPr>
        <w:t xml:space="preserve">кущего контроля</w:t>
      </w:r>
      <w:r>
        <w:rPr>
          <w:rFonts w:ascii="Times New Roman" w:hAnsi="Times New Roman" w:cs="Times New Roman"/>
          <w:sz w:val="28"/>
          <w:szCs w:val="28"/>
        </w:rPr>
        <w:t xml:space="preserve"> 2х – 11х классов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 </w:t>
      </w:r>
      <w:r>
        <w:rPr>
          <w:rFonts w:ascii="Times New Roman" w:hAnsi="Times New Roman" w:cs="Times New Roman"/>
          <w:sz w:val="28"/>
          <w:szCs w:val="28"/>
        </w:rPr>
        <w:t xml:space="preserve">четырех</w:t>
      </w:r>
      <w:r>
        <w:rPr>
          <w:rFonts w:ascii="Times New Roman" w:hAnsi="Times New Roman" w:cs="Times New Roman"/>
          <w:sz w:val="28"/>
          <w:szCs w:val="28"/>
        </w:rPr>
        <w:t xml:space="preserve">балльной</w:t>
      </w:r>
      <w:r>
        <w:rPr>
          <w:rFonts w:ascii="Times New Roman" w:hAnsi="Times New Roman" w:cs="Times New Roman"/>
          <w:sz w:val="28"/>
          <w:szCs w:val="28"/>
        </w:rPr>
        <w:t xml:space="preserve"> системе. Образовательной программой может быть предусмотрена фиксация удовлетворительной  либо неудовлетворительной оценки результатов освоения образовательных программ без разделения на уровни освоения.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учащихся первого класса в течение учебного года осуществляется без фиксации достижений </w:t>
      </w:r>
      <w:r>
        <w:rPr>
          <w:rFonts w:ascii="Times New Roman" w:hAnsi="Times New Roman" w:cs="Times New Roman"/>
          <w:sz w:val="28"/>
          <w:szCs w:val="28"/>
        </w:rPr>
        <w:t xml:space="preserve">учащихся</w:t>
      </w:r>
      <w:r>
        <w:rPr>
          <w:rFonts w:ascii="Times New Roman" w:hAnsi="Times New Roman" w:cs="Times New Roman"/>
          <w:sz w:val="28"/>
          <w:szCs w:val="28"/>
        </w:rPr>
        <w:t xml:space="preserve">, допустимо использовать только положительную</w:t>
      </w:r>
      <w:r>
        <w:rPr>
          <w:rFonts w:ascii="Times New Roman" w:hAnsi="Times New Roman" w:cs="Times New Roman"/>
          <w:sz w:val="28"/>
          <w:szCs w:val="28"/>
        </w:rPr>
        <w:t xml:space="preserve">, словесную, объяснительную оценку.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По курсу ОРКСЭ вводится </w:t>
      </w:r>
      <w:r>
        <w:rPr>
          <w:rFonts w:ascii="Times New Roman" w:hAnsi="Times New Roman" w:cs="Times New Roman"/>
          <w:sz w:val="28"/>
          <w:szCs w:val="28"/>
        </w:rPr>
        <w:t xml:space="preserve">безотметочное</w:t>
      </w:r>
      <w:r>
        <w:rPr>
          <w:rFonts w:ascii="Times New Roman" w:hAnsi="Times New Roman" w:cs="Times New Roman"/>
          <w:sz w:val="28"/>
          <w:szCs w:val="28"/>
        </w:rPr>
        <w:t xml:space="preserve"> обучение. Объектом оценивания по данному курсу становится нравственная и культурологическая компетентность ученика. Рассматриваемые как универсальная способность </w:t>
      </w:r>
      <w:r>
        <w:rPr>
          <w:rFonts w:ascii="Times New Roman" w:hAnsi="Times New Roman" w:cs="Times New Roman"/>
          <w:sz w:val="28"/>
          <w:szCs w:val="28"/>
        </w:rPr>
        <w:t xml:space="preserve">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систематизированных упражнений и тестовых заданий разных типов.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 изучении элективных курсов, на изучение которых отводится 34</w:t>
      </w:r>
      <w:r>
        <w:rPr>
          <w:rFonts w:ascii="Times New Roman" w:hAnsi="Times New Roman" w:cs="Times New Roman"/>
          <w:sz w:val="28"/>
          <w:szCs w:val="28"/>
        </w:rPr>
        <w:t xml:space="preserve"> и менее часов в год, применяется </w:t>
      </w:r>
      <w:r>
        <w:rPr>
          <w:rFonts w:ascii="Times New Roman" w:hAnsi="Times New Roman" w:cs="Times New Roman"/>
          <w:sz w:val="28"/>
          <w:szCs w:val="28"/>
        </w:rPr>
        <w:t xml:space="preserve">безотметочная</w:t>
      </w:r>
      <w:r>
        <w:rPr>
          <w:rFonts w:ascii="Times New Roman" w:hAnsi="Times New Roman" w:cs="Times New Roman"/>
          <w:sz w:val="28"/>
          <w:szCs w:val="28"/>
        </w:rPr>
        <w:t xml:space="preserve"> система оценивания;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Последствия получения неудовлетворительного результата текущего контроля успеваемости определяются педагогическим работнико</w:t>
      </w:r>
      <w:r>
        <w:rPr>
          <w:rFonts w:ascii="Times New Roman" w:hAnsi="Times New Roman" w:cs="Times New Roman"/>
          <w:sz w:val="28"/>
          <w:szCs w:val="28"/>
        </w:rPr>
        <w:t xml:space="preserve">м в соответствии с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Результаты текущего контроля фиксируются в</w:t>
      </w:r>
      <w:r>
        <w:rPr>
          <w:rFonts w:ascii="Times New Roman" w:hAnsi="Times New Roman" w:cs="Times New Roman"/>
          <w:sz w:val="28"/>
          <w:szCs w:val="28"/>
        </w:rPr>
        <w:t xml:space="preserve"> классных журналах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Отметка </w:t>
      </w:r>
      <w:r>
        <w:rPr>
          <w:rFonts w:ascii="Times New Roman" w:hAnsi="Times New Roman" w:cs="Times New Roman"/>
          <w:sz w:val="28"/>
          <w:szCs w:val="28"/>
        </w:rPr>
        <w:t xml:space="preserve">учащегося за четверть</w:t>
      </w:r>
      <w:r>
        <w:rPr>
          <w:rFonts w:ascii="Times New Roman" w:hAnsi="Times New Roman" w:cs="Times New Roman"/>
          <w:sz w:val="28"/>
          <w:szCs w:val="28"/>
        </w:rPr>
        <w:t xml:space="preserve"> выставляется на основе результатов текущего контроля успеваемости, с учетом результатов письменных контрольных работ.</w:t>
      </w:r>
      <w:r>
        <w:rPr>
          <w:rFonts w:ascii="Times New Roman" w:hAnsi="Times New Roman" w:cs="Times New Roman"/>
          <w:sz w:val="28"/>
          <w:szCs w:val="28"/>
        </w:rPr>
        <w:t xml:space="preserve"> Годовая отметка по предмету выставляется как средне</w:t>
      </w:r>
      <w:r>
        <w:rPr>
          <w:rFonts w:ascii="Times New Roman" w:hAnsi="Times New Roman" w:cs="Times New Roman"/>
          <w:sz w:val="28"/>
          <w:szCs w:val="28"/>
        </w:rPr>
        <w:t xml:space="preserve">е арифметическое четвертных отметок с учетом правил математического округления до целого числа, 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случа</w:t>
      </w:r>
      <w:r>
        <w:rPr>
          <w:rFonts w:ascii="Times New Roman" w:hAnsi="Times New Roman" w:cs="Times New Roman"/>
          <w:sz w:val="28"/>
          <w:szCs w:val="28"/>
        </w:rPr>
        <w:t xml:space="preserve">ев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Во 2х-</w:t>
      </w:r>
      <w:r>
        <w:rPr>
          <w:rFonts w:ascii="Times New Roman" w:hAnsi="Times New Roman" w:cs="Times New Roman"/>
          <w:sz w:val="28"/>
          <w:szCs w:val="28"/>
        </w:rPr>
        <w:t xml:space="preserve">11х классах в начале учебного года проводится контроль остаточных знаний учащихся по русскому языку и математике в целях выявления пробелов в знаниях учащихся для дальнейшей их ликвидации при подготовке и сдаче экзаменов, выносимых на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государственную итоговую аттестацию (</w:t>
      </w:r>
      <w:r>
        <w:rPr>
          <w:rFonts w:ascii="Times New Roman" w:hAnsi="Times New Roman" w:cs="Times New Roman"/>
          <w:sz w:val="28"/>
          <w:szCs w:val="28"/>
        </w:rPr>
        <w:t xml:space="preserve">ОГЭ и ЕГЭ</w:t>
      </w:r>
      <w:r>
        <w:rPr>
          <w:rFonts w:ascii="Times New Roman" w:hAnsi="Times New Roman" w:cs="Times New Roman"/>
          <w:sz w:val="28"/>
          <w:szCs w:val="28"/>
        </w:rPr>
        <w:t xml:space="preserve">) в качестве обязательных.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 Успеваемость учащихся,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Педагогические работники доводят до сведения родителей (законных представителей)  сведения о результатах текущего контроля успеваемости учащихся как посредством заполнения </w:t>
      </w:r>
      <w:r>
        <w:rPr>
          <w:rFonts w:ascii="Times New Roman" w:hAnsi="Times New Roman" w:cs="Times New Roman"/>
          <w:sz w:val="28"/>
          <w:szCs w:val="28"/>
        </w:rPr>
        <w:t xml:space="preserve">дневника учащегося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в электр</w:t>
      </w:r>
      <w:r>
        <w:rPr>
          <w:rFonts w:ascii="Times New Roman" w:hAnsi="Times New Roman" w:cs="Times New Roman"/>
          <w:sz w:val="28"/>
          <w:szCs w:val="28"/>
        </w:rPr>
        <w:t xml:space="preserve">онной форме (</w:t>
      </w:r>
      <w:r>
        <w:rPr>
          <w:rFonts w:ascii="Times New Roman" w:hAnsi="Times New Roman" w:cs="Times New Roman"/>
          <w:sz w:val="28"/>
          <w:szCs w:val="28"/>
        </w:rPr>
        <w:t xml:space="preserve">электронный дневник</w:t>
      </w:r>
      <w:r>
        <w:rPr>
          <w:rFonts w:ascii="Times New Roman" w:hAnsi="Times New Roman" w:cs="Times New Roman"/>
          <w:sz w:val="28"/>
          <w:szCs w:val="28"/>
        </w:rPr>
        <w:t xml:space="preserve"> учащегося</w:t>
      </w:r>
      <w:r>
        <w:rPr>
          <w:rFonts w:ascii="Times New Roman" w:hAnsi="Times New Roman" w:cs="Times New Roman"/>
          <w:sz w:val="28"/>
          <w:szCs w:val="28"/>
        </w:rPr>
        <w:t xml:space="preserve">), так и по запросу родителей (законных представителей) учащихся. Педагогические работники в рамк</w:t>
      </w:r>
      <w:r>
        <w:rPr>
          <w:rFonts w:ascii="Times New Roman" w:hAnsi="Times New Roman" w:cs="Times New Roman"/>
          <w:sz w:val="28"/>
          <w:szCs w:val="28"/>
        </w:rPr>
        <w:t xml:space="preserve">ах работы с</w:t>
      </w:r>
      <w:r>
        <w:rPr>
          <w:rFonts w:ascii="Times New Roman" w:hAnsi="Times New Roman" w:cs="Times New Roman"/>
          <w:sz w:val="28"/>
          <w:szCs w:val="28"/>
        </w:rPr>
        <w:t xml:space="preserve"> родителями (законными представителями) учащ</w:t>
      </w:r>
      <w:r>
        <w:rPr>
          <w:rFonts w:ascii="Times New Roman" w:hAnsi="Times New Roman" w:cs="Times New Roman"/>
          <w:sz w:val="28"/>
          <w:szCs w:val="28"/>
        </w:rPr>
        <w:t xml:space="preserve">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</w:t>
      </w:r>
      <w:r>
        <w:rPr>
          <w:rFonts w:ascii="Times New Roman" w:hAnsi="Times New Roman" w:cs="Times New Roman"/>
          <w:sz w:val="28"/>
          <w:szCs w:val="28"/>
        </w:rPr>
        <w:t xml:space="preserve">классного журнала, для чего должны обратиться к </w:t>
      </w:r>
      <w:r>
        <w:rPr>
          <w:rFonts w:ascii="Times New Roman" w:hAnsi="Times New Roman" w:cs="Times New Roman"/>
          <w:sz w:val="28"/>
          <w:szCs w:val="28"/>
        </w:rPr>
        <w:t xml:space="preserve">классному руководителю,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Содержание, и порядок проведения промежуточной аттестации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</w:t>
      </w:r>
      <w:r>
        <w:rPr>
          <w:rFonts w:ascii="Times New Roman" w:hAnsi="Times New Roman" w:cs="Times New Roman"/>
          <w:sz w:val="28"/>
          <w:szCs w:val="28"/>
        </w:rPr>
        <w:t xml:space="preserve">. Целями проведения промежуточной аттестации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numPr>
          <w:ilvl w:val="0"/>
          <w:numId w:val="2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объективное установление фактического уровня освоения образовательной программы и достижения результатов освоения образовательной программы;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numPr>
          <w:ilvl w:val="0"/>
          <w:numId w:val="2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оотнесение этого уровня с требованиями ФГОС;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numPr>
          <w:ilvl w:val="0"/>
          <w:numId w:val="2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достижений конкретного учащегося, позволяющая выявить пробелы в освоении им образовательной программы и учитывать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индивидуальные потребности учащегося в осуществлен</w:t>
      </w:r>
      <w:r>
        <w:rPr>
          <w:rFonts w:ascii="Times New Roman" w:hAnsi="Times New Roman" w:cs="Times New Roman"/>
          <w:sz w:val="28"/>
          <w:szCs w:val="28"/>
        </w:rPr>
        <w:t xml:space="preserve">ии образовательной деятельности;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numPr>
          <w:ilvl w:val="0"/>
          <w:numId w:val="2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динамики индивидуальных образовательных достижений, продвижения в достижении планируемых результатов освоения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Промеж</w:t>
      </w:r>
      <w:r>
        <w:rPr>
          <w:rFonts w:ascii="Times New Roman" w:hAnsi="Times New Roman" w:cs="Times New Roman"/>
          <w:sz w:val="28"/>
          <w:szCs w:val="28"/>
        </w:rPr>
        <w:t xml:space="preserve">уточная аттестация в школе</w:t>
      </w:r>
      <w:r>
        <w:rPr>
          <w:rFonts w:ascii="Times New Roman" w:hAnsi="Times New Roman" w:cs="Times New Roman"/>
          <w:sz w:val="28"/>
          <w:szCs w:val="28"/>
        </w:rPr>
        <w:t xml:space="preserve">  проводится на основе принципов объективности, беспристрастности. Оценка результатов освоения учащимися образовательных програ</w:t>
      </w:r>
      <w:r>
        <w:rPr>
          <w:rFonts w:ascii="Times New Roman" w:hAnsi="Times New Roman" w:cs="Times New Roman"/>
          <w:sz w:val="28"/>
          <w:szCs w:val="28"/>
        </w:rPr>
        <w:t xml:space="preserve">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Формами промежуточной аттестации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numPr>
          <w:ilvl w:val="0"/>
          <w:numId w:val="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письменная проверка – письменный ответ учащегося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</w:t>
      </w:r>
      <w:r>
        <w:rPr>
          <w:rFonts w:ascii="Times New Roman" w:hAnsi="Times New Roman" w:cs="Times New Roman"/>
          <w:sz w:val="28"/>
          <w:szCs w:val="28"/>
        </w:rPr>
        <w:t xml:space="preserve">отчёты  о</w:t>
      </w:r>
      <w:r>
        <w:rPr>
          <w:rFonts w:ascii="Times New Roman" w:hAnsi="Times New Roman" w:cs="Times New Roman"/>
          <w:sz w:val="28"/>
          <w:szCs w:val="28"/>
        </w:rPr>
        <w:t xml:space="preserve"> наблюдениях; письменные ответы на вопросы теста; сочинения, изложения, диктанты, рефераты и другое;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numPr>
          <w:ilvl w:val="0"/>
          <w:numId w:val="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устная проверка – устный ответ учащегося на один или систему вопросов в форме ответа на </w:t>
      </w:r>
      <w:r>
        <w:rPr>
          <w:rFonts w:ascii="Times New Roman" w:hAnsi="Times New Roman" w:cs="Times New Roman"/>
          <w:sz w:val="28"/>
          <w:szCs w:val="28"/>
        </w:rPr>
        <w:t xml:space="preserve">билеты,  беседы</w:t>
      </w:r>
      <w:r>
        <w:rPr>
          <w:rFonts w:ascii="Times New Roman" w:hAnsi="Times New Roman" w:cs="Times New Roman"/>
          <w:sz w:val="28"/>
          <w:szCs w:val="28"/>
        </w:rPr>
        <w:t xml:space="preserve">, собеседования и другое;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numPr>
          <w:ilvl w:val="0"/>
          <w:numId w:val="3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комбинированная проверка - сочетание письменных и устных форм проверок.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случаях, предусмотренных образовательной программой, в качестве результатов промежуточной аттестации могут быть зачтены выполнение тех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иных заданий, проектов в ходе образовательной деятельности, результаты участия в олимпиадах, конкурсах, конференциях, иных подобных мероприятиях.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Контрольно – измерительные материалы для проведения всех форм промежуточной аттестации обучающихся разрабатываются школьными методическ</w:t>
      </w:r>
      <w:r>
        <w:rPr>
          <w:rFonts w:ascii="Times New Roman" w:hAnsi="Times New Roman" w:cs="Times New Roman"/>
          <w:sz w:val="28"/>
          <w:szCs w:val="28"/>
        </w:rPr>
        <w:t xml:space="preserve">ими объединениями либо учителем</w:t>
      </w:r>
      <w:r>
        <w:rPr>
          <w:rFonts w:ascii="Times New Roman" w:hAnsi="Times New Roman" w:cs="Times New Roman"/>
          <w:sz w:val="28"/>
          <w:szCs w:val="28"/>
        </w:rPr>
        <w:t xml:space="preserve">–предметником в соответствии с государственным стандартом общего образования, согласовывается с методическим объединением учителей по предмету.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Расписание проведения промежуточной аттестации доводится до сведения педагогов, обучающихся и их родителей (законных представителей) не позднее, чем за две недели до начала атте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Фиксация результатов промежуточной аттестации осуществляется по </w:t>
      </w:r>
      <w:r>
        <w:rPr>
          <w:rFonts w:ascii="Times New Roman" w:hAnsi="Times New Roman" w:cs="Times New Roman"/>
          <w:sz w:val="28"/>
          <w:szCs w:val="28"/>
        </w:rPr>
        <w:t xml:space="preserve">четырехбалльной</w:t>
      </w:r>
      <w:r>
        <w:rPr>
          <w:rFonts w:ascii="Times New Roman" w:hAnsi="Times New Roman" w:cs="Times New Roman"/>
          <w:sz w:val="28"/>
          <w:szCs w:val="28"/>
        </w:rPr>
        <w:t xml:space="preserve"> системе. Образовательной программой может быть предусмотрена фиксация удовлетворительного  либо неудовлетворительного результата промежуточной аттестации без разделения на</w:t>
      </w:r>
      <w:r>
        <w:rPr>
          <w:rFonts w:ascii="Times New Roman" w:hAnsi="Times New Roman" w:cs="Times New Roman"/>
          <w:sz w:val="28"/>
          <w:szCs w:val="28"/>
        </w:rPr>
        <w:t xml:space="preserve"> уровни.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итоговая отметка по </w:t>
      </w:r>
      <w:r>
        <w:rPr>
          <w:rFonts w:ascii="Times New Roman" w:hAnsi="Times New Roman" w:cs="Times New Roman"/>
          <w:sz w:val="28"/>
          <w:szCs w:val="28"/>
        </w:rPr>
        <w:t xml:space="preserve">учебному предмету выставляется учителем на основе среднего арифметического между оценками, выставленными в четвертях и полугодиях и отметкой, полученной обучающимся на промежуточной аттестации за год, в соответствии  с правилами математического округления.</w:t>
      </w:r>
      <w:r>
        <w:rPr>
          <w:rFonts w:ascii="Times New Roman" w:hAnsi="Times New Roman" w:cs="Times New Roman"/>
          <w:sz w:val="28"/>
          <w:szCs w:val="28"/>
        </w:rPr>
        <w:t xml:space="preserve"> Учащиеся 9го класса, не прошедшие промежуточную аттестацию по одному или нескольким </w:t>
      </w:r>
      <w:r>
        <w:rPr>
          <w:rFonts w:ascii="Times New Roman" w:hAnsi="Times New Roman" w:cs="Times New Roman"/>
          <w:sz w:val="28"/>
          <w:szCs w:val="28"/>
        </w:rPr>
        <w:t xml:space="preserve">предметами являются </w:t>
      </w:r>
      <w:r>
        <w:rPr>
          <w:rFonts w:ascii="Times New Roman" w:hAnsi="Times New Roman" w:cs="Times New Roman"/>
          <w:sz w:val="28"/>
          <w:szCs w:val="28"/>
        </w:rPr>
        <w:t xml:space="preserve">недопущенными</w:t>
      </w:r>
      <w:r>
        <w:rPr>
          <w:rFonts w:ascii="Times New Roman" w:hAnsi="Times New Roman" w:cs="Times New Roman"/>
          <w:sz w:val="28"/>
          <w:szCs w:val="28"/>
        </w:rPr>
        <w:t xml:space="preserve"> к государственной итоговой аттестации.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При про</w:t>
      </w:r>
      <w:r>
        <w:rPr>
          <w:rFonts w:ascii="Times New Roman" w:hAnsi="Times New Roman" w:cs="Times New Roman"/>
          <w:sz w:val="28"/>
          <w:szCs w:val="28"/>
        </w:rPr>
        <w:t xml:space="preserve">пуске учащимся по уважительной причине более половины учебного времени, отводимого на изучение учебного предмета, курса, учащийся имеет право на перенос срока проведения промежуточной аттестации. Новый срок проведения промежуточной аттестации определяется </w:t>
      </w:r>
      <w:r>
        <w:rPr>
          <w:rFonts w:ascii="Times New Roman" w:hAnsi="Times New Roman" w:cs="Times New Roman"/>
          <w:sz w:val="28"/>
          <w:szCs w:val="28"/>
        </w:rPr>
        <w:t xml:space="preserve">школой</w:t>
      </w:r>
      <w:r>
        <w:rPr>
          <w:rFonts w:ascii="Times New Roman" w:hAnsi="Times New Roman" w:cs="Times New Roman"/>
          <w:sz w:val="28"/>
          <w:szCs w:val="28"/>
        </w:rPr>
        <w:t xml:space="preserve"> с учетом учебного плана, индивидуального учебного плана на основании заявления учащегося (его родителей, законных представителей).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Педагогические работники доводят до сведения родителей (законных представителей)  сведения о результатах промежуточной аттестации учащихся как посредством заполнения</w:t>
      </w:r>
      <w:r>
        <w:rPr>
          <w:rFonts w:ascii="Times New Roman" w:hAnsi="Times New Roman" w:cs="Times New Roman"/>
          <w:sz w:val="28"/>
          <w:szCs w:val="28"/>
        </w:rPr>
        <w:t xml:space="preserve"> дневника учащегося</w:t>
      </w:r>
      <w:r>
        <w:rPr>
          <w:rFonts w:ascii="Times New Roman" w:hAnsi="Times New Roman" w:cs="Times New Roman"/>
          <w:sz w:val="28"/>
          <w:szCs w:val="28"/>
        </w:rPr>
        <w:t xml:space="preserve">, в</w:t>
      </w:r>
      <w:r>
        <w:rPr>
          <w:rFonts w:ascii="Times New Roman" w:hAnsi="Times New Roman" w:cs="Times New Roman"/>
          <w:sz w:val="28"/>
          <w:szCs w:val="28"/>
        </w:rPr>
        <w:t xml:space="preserve"> том числе в электронной форме (</w:t>
      </w:r>
      <w:r>
        <w:rPr>
          <w:rFonts w:ascii="Times New Roman" w:hAnsi="Times New Roman" w:cs="Times New Roman"/>
          <w:sz w:val="28"/>
          <w:szCs w:val="28"/>
        </w:rPr>
        <w:t xml:space="preserve">электронный дневник</w:t>
      </w:r>
      <w:r>
        <w:rPr>
          <w:rFonts w:ascii="Times New Roman" w:hAnsi="Times New Roman" w:cs="Times New Roman"/>
          <w:sz w:val="28"/>
          <w:szCs w:val="28"/>
        </w:rPr>
        <w:t xml:space="preserve"> учащегося</w:t>
      </w:r>
      <w:r>
        <w:rPr>
          <w:rFonts w:ascii="Times New Roman" w:hAnsi="Times New Roman" w:cs="Times New Roman"/>
          <w:sz w:val="28"/>
          <w:szCs w:val="28"/>
        </w:rPr>
        <w:t xml:space="preserve">), так и по запросу родителей (законных представителей) учащихся. Педагогические работники в</w:t>
      </w:r>
      <w:r>
        <w:rPr>
          <w:rFonts w:ascii="Times New Roman" w:hAnsi="Times New Roman" w:cs="Times New Roman"/>
          <w:sz w:val="28"/>
          <w:szCs w:val="28"/>
        </w:rPr>
        <w:t xml:space="preserve"> рамках работы с</w:t>
      </w:r>
      <w:r>
        <w:rPr>
          <w:rFonts w:ascii="Times New Roman" w:hAnsi="Times New Roman" w:cs="Times New Roman"/>
          <w:sz w:val="28"/>
          <w:szCs w:val="28"/>
        </w:rPr>
        <w:t xml:space="preserve"> родителями (законными представи</w:t>
      </w:r>
      <w:r>
        <w:rPr>
          <w:rFonts w:ascii="Times New Roman" w:hAnsi="Times New Roman" w:cs="Times New Roman"/>
          <w:sz w:val="28"/>
          <w:szCs w:val="28"/>
        </w:rPr>
        <w:t xml:space="preserve">телями) учащихся обязаны прокомментировать результаты промежуточной аттестации учащихся в устной форме.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</w:t>
      </w:r>
      <w:r>
        <w:rPr>
          <w:rFonts w:ascii="Times New Roman" w:hAnsi="Times New Roman" w:cs="Times New Roman"/>
          <w:sz w:val="28"/>
          <w:szCs w:val="28"/>
        </w:rPr>
        <w:t xml:space="preserve">классного журнала, для чего должны обратиться к классному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 xml:space="preserve">10.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сроков и порядка проведения промежуточной аттестации мог</w:t>
      </w:r>
      <w:r>
        <w:rPr>
          <w:rFonts w:ascii="Times New Roman" w:hAnsi="Times New Roman" w:cs="Times New Roman"/>
          <w:sz w:val="28"/>
          <w:szCs w:val="28"/>
        </w:rPr>
        <w:t xml:space="preserve">ут быть установлены школой</w:t>
      </w:r>
      <w:r>
        <w:rPr>
          <w:rFonts w:ascii="Times New Roman" w:hAnsi="Times New Roman" w:cs="Times New Roman"/>
          <w:sz w:val="28"/>
          <w:szCs w:val="28"/>
        </w:rPr>
        <w:t xml:space="preserve"> для следующих категорий учащихся по заявлению учащихся (их законных представителей):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numPr>
          <w:ilvl w:val="0"/>
          <w:numId w:val="1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выезжающих на учебно-тренировочные сборы, на олимпиады школьников, на российские или международные спортивные соревнования, конкурсы, смотры, олимпиады и тренировочные сборы и иные подобные мероприятия;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numPr>
          <w:ilvl w:val="0"/>
          <w:numId w:val="1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отъезжающих на постоянное место жительства за рубеж;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9"/>
        <w:numPr>
          <w:ilvl w:val="0"/>
          <w:numId w:val="1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ля иных учащихся по решению педагогического совета.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 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Итоги промежуточной аттестации обсуждаются на заседаниях методических объединений и педагогическог</w:t>
      </w:r>
      <w:r>
        <w:rPr>
          <w:rFonts w:ascii="Times New Roman" w:hAnsi="Times New Roman" w:cs="Times New Roman"/>
          <w:sz w:val="28"/>
          <w:szCs w:val="28"/>
        </w:rPr>
        <w:t xml:space="preserve">о совета школы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Неудовлетворительные результаты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и текущего контроля </w:t>
      </w:r>
      <w:r>
        <w:rPr>
          <w:rFonts w:ascii="Times New Roman" w:hAnsi="Times New Roman" w:cs="Times New Roman"/>
          <w:sz w:val="28"/>
          <w:szCs w:val="28"/>
        </w:rPr>
        <w:t xml:space="preserve"> по одному или нескольким учебным</w:t>
      </w:r>
      <w:r>
        <w:rPr>
          <w:rFonts w:ascii="Times New Roman" w:hAnsi="Times New Roman" w:cs="Times New Roman"/>
          <w:sz w:val="28"/>
          <w:szCs w:val="28"/>
        </w:rPr>
        <w:t xml:space="preserve"> предметам, курсам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непрохождение</w:t>
      </w:r>
      <w:r>
        <w:rPr>
          <w:rFonts w:ascii="Times New Roman" w:hAnsi="Times New Roman" w:cs="Times New Roman"/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Учащиеся обязаны ликвидировать академическую задолженность.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Школа</w:t>
      </w:r>
      <w:r>
        <w:rPr>
          <w:rFonts w:ascii="Times New Roman" w:hAnsi="Times New Roman" w:cs="Times New Roman"/>
          <w:sz w:val="28"/>
          <w:szCs w:val="28"/>
        </w:rPr>
        <w:t xml:space="preserve"> создает</w:t>
      </w:r>
      <w:r>
        <w:rPr>
          <w:rFonts w:ascii="Times New Roman" w:hAnsi="Times New Roman" w:cs="Times New Roman"/>
          <w:sz w:val="28"/>
          <w:szCs w:val="28"/>
        </w:rPr>
        <w:t xml:space="preserve"> условия учащемуся для ликвидации академической задолженности и обеспечивает контроль за своевременностью ее ликвидации.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Учащиеся, имеющие академическую задолженность, вправе пройти промежуточную аттестацию по соответствующему учебному предмету, курсу</w:t>
      </w:r>
      <w:r>
        <w:rPr>
          <w:rFonts w:ascii="Times New Roman" w:hAnsi="Times New Roman" w:cs="Times New Roman"/>
          <w:sz w:val="28"/>
          <w:szCs w:val="28"/>
        </w:rPr>
        <w:t xml:space="preserve"> не более двух раз в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текущего</w:t>
      </w:r>
      <w:r>
        <w:rPr>
          <w:rFonts w:ascii="Times New Roman" w:hAnsi="Times New Roman" w:cs="Times New Roman"/>
          <w:sz w:val="28"/>
          <w:szCs w:val="28"/>
        </w:rPr>
        <w:t xml:space="preserve"> учебного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  <w:r>
        <w:rPr>
          <w:rFonts w:ascii="Times New Roman" w:hAnsi="Times New Roman" w:cs="Times New Roman"/>
          <w:sz w:val="28"/>
          <w:szCs w:val="28"/>
        </w:rPr>
        <w:t xml:space="preserve">В указанный период не включаются время болезни учащегося, нахождение его в отпуске по беременности и родам.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Для проведения промежуточной аттестации при ликвидации академической задолженности во в</w:t>
      </w:r>
      <w:r>
        <w:rPr>
          <w:rFonts w:ascii="Times New Roman" w:hAnsi="Times New Roman" w:cs="Times New Roman"/>
          <w:sz w:val="28"/>
          <w:szCs w:val="28"/>
        </w:rPr>
        <w:t xml:space="preserve">торой раз школой</w:t>
      </w:r>
      <w:r>
        <w:rPr>
          <w:rFonts w:ascii="Times New Roman" w:hAnsi="Times New Roman" w:cs="Times New Roman"/>
          <w:sz w:val="28"/>
          <w:szCs w:val="28"/>
        </w:rPr>
        <w:t xml:space="preserve"> создается комиссия.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Не допускается взимание платы с учащихся за прохождение промежуточной аттестации.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Учащиеся, не прошедшие промежуточную аттестацию по уважительным причинам или имеющие академическую задолженность, переводятся в следующий класс  условно.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. Учащиеся</w:t>
      </w:r>
      <w:r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начального общего, основного общего образования,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</w:t>
      </w:r>
      <w:r>
        <w:rPr>
          <w:rFonts w:ascii="Times New Roman" w:hAnsi="Times New Roman" w:cs="Times New Roman"/>
          <w:sz w:val="28"/>
          <w:szCs w:val="28"/>
        </w:rPr>
        <w:t xml:space="preserve">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</w:t>
      </w:r>
      <w:r>
        <w:rPr>
          <w:rFonts w:ascii="Times New Roman" w:hAnsi="Times New Roman" w:cs="Times New Roman"/>
          <w:sz w:val="28"/>
          <w:szCs w:val="28"/>
        </w:rPr>
        <w:t xml:space="preserve"> информирует родителей учащегося о необходимости принятия решения об организации дальнейшего обучения учащегося в письменной форме.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Учёт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результатов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ВПР (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Всероссийски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проверочные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работы).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ВПР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являются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формой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промежуточ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ной,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текущей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аттестации;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4.2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ВПР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выставляются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Электронный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журнал,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являются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формой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итогового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контроля.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22222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color w:val="222222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222222"/>
          <w:sz w:val="28"/>
          <w:szCs w:val="28"/>
        </w:rPr>
        <w:t xml:space="preserve"> 5. Промежут</w:t>
      </w:r>
      <w:r>
        <w:rPr>
          <w:rFonts w:ascii="Times New Roman" w:hAnsi="Times New Roman" w:eastAsia="Times New Roman" w:cs="Times New Roman"/>
          <w:bCs/>
          <w:color w:val="222222"/>
          <w:sz w:val="28"/>
          <w:szCs w:val="28"/>
        </w:rPr>
        <w:t xml:space="preserve">очная</w:t>
      </w:r>
      <w:r>
        <w:rPr>
          <w:rFonts w:ascii="Times New Roman" w:hAnsi="Times New Roman" w:eastAsia="Times New Roman" w:cs="Times New Roman"/>
          <w:bCs/>
          <w:color w:val="222222"/>
          <w:sz w:val="28"/>
          <w:szCs w:val="28"/>
        </w:rPr>
        <w:t xml:space="preserve"> аттестация экстернов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5.1. Лица, осваивающие 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основную общеобразовательную программу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 соотв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5.2. Родители (законные представители) несовершеннолетних 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учащихся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5.3. При прохождении аттестации экстерны пользуются академическими правами 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учащихся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 по соответствующей образовательной программе, в том числе вправе принимать участие в олимпиаде школьников.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5.4. Сроки подачи заявления о прохождении промежуточной аттестации экстерном, а также порядок возникновения, изменения и прекращения образовательных отношений с экстернами устанавливается локальными нормативными актами школы.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5.5. Школа у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тверждает график прохождения промежуточной аттестации экстерном, который предварительно согласует с экстерном или его родителями (законными представителями). Промежуточная аттестации экстернов проводится по не более одному учебному предмету (курсу) в день.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5.6. До начала промежуточной аттестации экстерн может получить консультацию по вопросам, касающимся аттестации, в пределах двух академических часов в соответствии с графиком, утвержденным приказом о зачислении экстерна.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5.7. Экстерн имеет право на зачет результатов о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законодательством РФ и локальным нормативным актом школы.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5.8. Промежуточная аттестация экстерна осуществляется педагогическим работником, реализующим соответствующую часть ООП, самостоятельно в сроки и формах, установленных приказом о зачислении экстерна.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5.9. Результаты промежуточной аттестации экстернов фиксируются педагогическими работниками в протоколах, которые хранятся в личном деле экстерна вместе с письменными работами.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5.10. На основании протокола проведения промежуточной аттестации экстерну выдается справка с результатами прохождения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 промежуточной аттестации по основной общеобразо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вательной п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рограмме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 соответствующего уровня общего образования по форме согласно 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приложению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 к настоящему Положению.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5.11. Неудовлетворительные результаты промежуточной аттестации по одному или нескольким учебным предметам, курсам, дисциплинам (модулям) или 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непрохождение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5.12. 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Учащиеся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 локальными нормативными актами школы.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5.13. Срок подачи заявления на зачисление в школу для прохождения государственной итоговой аттестации составляет: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по ООП ООО – не менее чем за две недели до даты проведения итогового собеседования по русскому языку, но не позднее 1 марта;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по ООП СОО – не менее чем за две недели до проведения итогового сочинения (изложения), но не позднее 1 февраля.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5.14. Экстерны допускаются к государственной итоговой аттестации по ООП ООО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  <w:t xml:space="preserve">Экстерны допускаются к государственной итоговой аттестации по ООП СОО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</w:rPr>
      </w:r>
      <w:r>
        <w:rPr>
          <w:rFonts w:ascii="Times New Roman" w:hAnsi="Times New Roman" w:eastAsia="Times New Roman" w:cs="Times New Roman"/>
          <w:color w:val="222222"/>
          <w:sz w:val="28"/>
          <w:szCs w:val="28"/>
        </w:rPr>
      </w:r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right"/>
        <w:spacing w:after="0" w:line="0" w:lineRule="atLeas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jc w:val="right"/>
        <w:spacing w:after="0" w:line="0" w:lineRule="atLeast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jc w:val="right"/>
        <w:spacing w:after="0" w:line="0" w:lineRule="atLeas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Приложение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к Положению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jc w:val="right"/>
        <w:spacing w:after="0" w:line="0" w:lineRule="atLeast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о формах и порядке текущего контроля,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jc w:val="right"/>
        <w:spacing w:after="0" w:line="0" w:lineRule="atLeast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промежуточной аттестации,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jc w:val="right"/>
        <w:spacing w:after="0" w:line="0" w:lineRule="atLeast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переводе в следующий класс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jc w:val="right"/>
        <w:spacing w:after="0" w:line="0" w:lineRule="atLeast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учащихся 2-11 классов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tbl>
      <w:tblPr>
        <w:tblStyle w:val="632"/>
        <w:tblW w:w="0" w:type="auto"/>
        <w:tblLook w:val="04A0" w:firstRow="1" w:lastRow="0" w:firstColumn="1" w:lastColumn="0" w:noHBand="0" w:noVBand="1"/>
      </w:tblPr>
      <w:tblGrid>
        <w:gridCol w:w="1876"/>
        <w:gridCol w:w="1877"/>
        <w:gridCol w:w="1877"/>
        <w:gridCol w:w="1877"/>
        <w:gridCol w:w="1838"/>
      </w:tblGrid>
      <w:tr>
        <w:tblPrEx/>
        <w:trPr/>
        <w:tc>
          <w:tcPr>
            <w:gridSpan w:val="5"/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2-11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I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II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III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IV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(н/а)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(н/а)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(н/а)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(н/а)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(н/а)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(н/а)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(н/а)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(н/а)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(н/а)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(н/а)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(н/а)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(н/а)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(н/а)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(н/а)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(н/а)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Balloon Text"/>
    <w:basedOn w:val="623"/>
    <w:link w:val="62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8" w:customStyle="1">
    <w:name w:val="Текст выноски Знак"/>
    <w:basedOn w:val="624"/>
    <w:link w:val="627"/>
    <w:uiPriority w:val="99"/>
    <w:semiHidden/>
    <w:rPr>
      <w:rFonts w:ascii="Tahoma" w:hAnsi="Tahoma" w:cs="Tahoma"/>
      <w:sz w:val="16"/>
      <w:szCs w:val="16"/>
    </w:rPr>
  </w:style>
  <w:style w:type="paragraph" w:styleId="629">
    <w:name w:val="List Paragraph"/>
    <w:basedOn w:val="623"/>
    <w:uiPriority w:val="34"/>
    <w:qFormat/>
    <w:pPr>
      <w:contextualSpacing/>
      <w:ind w:left="720"/>
    </w:pPr>
  </w:style>
  <w:style w:type="paragraph" w:styleId="630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table" w:styleId="631">
    <w:name w:val="Table Grid"/>
    <w:basedOn w:val="625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32" w:customStyle="1">
    <w:name w:val="Сетка таблицы1"/>
    <w:basedOn w:val="625"/>
    <w:next w:val="631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 Рябчук</cp:lastModifiedBy>
  <cp:revision>7</cp:revision>
  <dcterms:created xsi:type="dcterms:W3CDTF">2026-02-12T12:20:00Z</dcterms:created>
  <dcterms:modified xsi:type="dcterms:W3CDTF">2026-04-28T15:33:33Z</dcterms:modified>
</cp:coreProperties>
</file>