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3AFE" w14:textId="77777777" w:rsidR="00D4066D" w:rsidRPr="00CD1B5D" w:rsidRDefault="00EF38BC" w:rsidP="00D406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B5D">
        <w:rPr>
          <w:rFonts w:ascii="Times New Roman" w:hAnsi="Times New Roman"/>
          <w:sz w:val="20"/>
          <w:szCs w:val="20"/>
        </w:rPr>
        <w:t xml:space="preserve">Приложение N </w:t>
      </w:r>
      <w:r w:rsidR="00F96DC1" w:rsidRPr="00CD1B5D">
        <w:rPr>
          <w:rFonts w:ascii="Times New Roman" w:hAnsi="Times New Roman"/>
          <w:sz w:val="20"/>
          <w:szCs w:val="20"/>
        </w:rPr>
        <w:t>9</w:t>
      </w:r>
      <w:r w:rsidR="00D4066D" w:rsidRPr="00CD1B5D">
        <w:rPr>
          <w:rFonts w:ascii="Times New Roman" w:hAnsi="Times New Roman"/>
          <w:sz w:val="20"/>
          <w:szCs w:val="20"/>
        </w:rPr>
        <w:t xml:space="preserve"> </w:t>
      </w:r>
    </w:p>
    <w:p w14:paraId="342CF166" w14:textId="77777777" w:rsidR="00CD1B5D" w:rsidRPr="00CD1B5D" w:rsidRDefault="00D4066D" w:rsidP="00D406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B5D">
        <w:rPr>
          <w:rFonts w:ascii="Times New Roman" w:hAnsi="Times New Roman"/>
          <w:sz w:val="20"/>
          <w:szCs w:val="20"/>
        </w:rPr>
        <w:t xml:space="preserve">к учетной политике ГКУ Республики </w:t>
      </w:r>
    </w:p>
    <w:p w14:paraId="3B35A8B4" w14:textId="44B0FD54" w:rsidR="00CD1B5D" w:rsidRDefault="00D4066D" w:rsidP="00D406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B5D">
        <w:rPr>
          <w:rFonts w:ascii="Times New Roman" w:hAnsi="Times New Roman"/>
          <w:sz w:val="20"/>
          <w:szCs w:val="20"/>
        </w:rPr>
        <w:t>Карелия</w:t>
      </w:r>
      <w:r w:rsidR="00CD1B5D" w:rsidRPr="00CD1B5D">
        <w:rPr>
          <w:rFonts w:ascii="Times New Roman" w:hAnsi="Times New Roman"/>
          <w:sz w:val="20"/>
          <w:szCs w:val="20"/>
        </w:rPr>
        <w:t xml:space="preserve"> </w:t>
      </w:r>
      <w:r w:rsidRPr="00CD1B5D">
        <w:rPr>
          <w:rFonts w:ascii="Times New Roman" w:hAnsi="Times New Roman"/>
          <w:sz w:val="20"/>
          <w:szCs w:val="20"/>
        </w:rPr>
        <w:t>"</w:t>
      </w:r>
      <w:r w:rsidR="00CD1B5D" w:rsidRPr="00CD1B5D">
        <w:rPr>
          <w:rFonts w:ascii="Times New Roman" w:hAnsi="Times New Roman"/>
          <w:sz w:val="20"/>
          <w:szCs w:val="20"/>
        </w:rPr>
        <w:t>Госюрбюро</w:t>
      </w:r>
      <w:r w:rsidRPr="00CD1B5D">
        <w:rPr>
          <w:rFonts w:ascii="Times New Roman" w:hAnsi="Times New Roman"/>
          <w:sz w:val="20"/>
          <w:szCs w:val="20"/>
        </w:rPr>
        <w:t xml:space="preserve"> РК"</w:t>
      </w:r>
    </w:p>
    <w:p w14:paraId="7D52649D" w14:textId="77777777" w:rsidR="00266CF9" w:rsidRDefault="00CD1B5D" w:rsidP="00D406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 от 30.</w:t>
      </w:r>
      <w:r w:rsidR="009D030B">
        <w:rPr>
          <w:rFonts w:ascii="Times New Roman" w:hAnsi="Times New Roman"/>
          <w:sz w:val="20"/>
          <w:szCs w:val="20"/>
        </w:rPr>
        <w:t xml:space="preserve">09.2022 </w:t>
      </w:r>
      <w:r>
        <w:rPr>
          <w:rFonts w:ascii="Times New Roman" w:hAnsi="Times New Roman"/>
          <w:sz w:val="20"/>
          <w:szCs w:val="20"/>
        </w:rPr>
        <w:t>г</w:t>
      </w:r>
      <w:r w:rsidR="009D030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9D030B">
        <w:rPr>
          <w:rFonts w:ascii="Times New Roman" w:hAnsi="Times New Roman"/>
          <w:sz w:val="20"/>
          <w:szCs w:val="20"/>
        </w:rPr>
        <w:t>79</w:t>
      </w:r>
    </w:p>
    <w:p w14:paraId="1495C248" w14:textId="6922F65E" w:rsidR="00EF38BC" w:rsidRPr="00CD1B5D" w:rsidRDefault="00266CF9" w:rsidP="00D406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 редакции Приказа от 30.12.2022 г. № 101)</w:t>
      </w:r>
    </w:p>
    <w:p w14:paraId="504B032C" w14:textId="77777777" w:rsidR="00EF38BC" w:rsidRPr="00847F7C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C57F9B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b/>
          <w:bCs/>
          <w:sz w:val="26"/>
          <w:szCs w:val="26"/>
        </w:rPr>
        <w:t>Порядок формирования в бюджетном учете</w:t>
      </w:r>
    </w:p>
    <w:p w14:paraId="7BBD483A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D1B5D">
        <w:rPr>
          <w:rFonts w:ascii="Times New Roman" w:hAnsi="Times New Roman"/>
          <w:b/>
          <w:bCs/>
          <w:sz w:val="26"/>
          <w:szCs w:val="26"/>
        </w:rPr>
        <w:t xml:space="preserve">и бюджетной (финансовой) отчетности </w:t>
      </w:r>
    </w:p>
    <w:p w14:paraId="2788E0FE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b/>
          <w:bCs/>
          <w:sz w:val="26"/>
          <w:szCs w:val="26"/>
        </w:rPr>
        <w:t xml:space="preserve">ГКУ РК "Государственное юридическое бюро Республики Карелия" </w:t>
      </w:r>
    </w:p>
    <w:p w14:paraId="492C36EE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b/>
          <w:bCs/>
          <w:sz w:val="26"/>
          <w:szCs w:val="26"/>
        </w:rPr>
        <w:t>информации о сформированных резервах предстоящих расходов в сумме отложенных обязательств</w:t>
      </w:r>
    </w:p>
    <w:p w14:paraId="40442D51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128B42A3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14:paraId="03882243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Настоящий Порядок устанавливает правила отражения в бюджетном учете и годовой бюджетной (финансовой) отчетности (далее - учет и отчетность соответственно) ГКУ РК "Государственное юридическое бюро Республики Карелия" (далее – Госюрбюро) начисленных резерв</w:t>
      </w:r>
      <w:r w:rsidR="00716B3E" w:rsidRPr="00CD1B5D">
        <w:rPr>
          <w:rFonts w:ascii="Times New Roman" w:hAnsi="Times New Roman"/>
          <w:sz w:val="26"/>
          <w:szCs w:val="26"/>
        </w:rPr>
        <w:t>ов</w:t>
      </w:r>
      <w:r w:rsidRPr="00CD1B5D">
        <w:rPr>
          <w:rFonts w:ascii="Times New Roman" w:hAnsi="Times New Roman"/>
          <w:sz w:val="26"/>
          <w:szCs w:val="26"/>
        </w:rPr>
        <w:t xml:space="preserve"> предстоящих расходов в сумме отложенных обязательств, которые отражаются на счете 040160000 «Резервы предстоящих расходов».</w:t>
      </w:r>
    </w:p>
    <w:p w14:paraId="18971CEA" w14:textId="17418634" w:rsidR="00076E36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Резервы формируются в целях формирования полной и достоверной информации об обязательствах Госюрбюро по методу начисления, предусматривающему отражение расходов в том периоде, к которому они относятся, независимо от того, когда выплачены денежные средства, а также для равномерного отнесения расходов на финансовый результат учреждения.</w:t>
      </w:r>
    </w:p>
    <w:p w14:paraId="47C649AA" w14:textId="77777777" w:rsidR="00076E36" w:rsidRDefault="00076E3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55AEAD89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b/>
          <w:bCs/>
          <w:sz w:val="26"/>
          <w:szCs w:val="26"/>
        </w:rPr>
        <w:lastRenderedPageBreak/>
        <w:t>2. Отражение в бухгалтерском учете операций по формированию и использованию резервов на оплату отпусков</w:t>
      </w:r>
    </w:p>
    <w:p w14:paraId="3B9FEC4A" w14:textId="77777777" w:rsidR="00EF38BC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D1B5D">
        <w:rPr>
          <w:rFonts w:ascii="Times New Roman" w:hAnsi="Times New Roman"/>
          <w:sz w:val="26"/>
          <w:szCs w:val="26"/>
        </w:rPr>
        <w:t>Бухгалтерские записи по отражению в учете операций по формированию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1C0739">
        <w:rPr>
          <w:rFonts w:ascii="Times New Roman" w:hAnsi="Times New Roman"/>
          <w:sz w:val="26"/>
          <w:szCs w:val="26"/>
        </w:rPr>
        <w:t>использованию резерва на оплату отпусков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3827"/>
        <w:gridCol w:w="3403"/>
      </w:tblGrid>
      <w:tr w:rsidR="00EF38BC" w:rsidRPr="00DE5EA2" w14:paraId="54F8AA2A" w14:textId="77777777" w:rsidTr="00076E36">
        <w:tc>
          <w:tcPr>
            <w:tcW w:w="817" w:type="dxa"/>
            <w:vMerge w:val="restart"/>
            <w:vAlign w:val="center"/>
          </w:tcPr>
          <w:p w14:paraId="7652865C" w14:textId="77777777" w:rsidR="00EF38BC" w:rsidRPr="00DE5EA2" w:rsidRDefault="00EF38BC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Merge w:val="restart"/>
            <w:vAlign w:val="center"/>
          </w:tcPr>
          <w:p w14:paraId="56F966B1" w14:textId="77777777" w:rsidR="00EF38BC" w:rsidRPr="00DE5EA2" w:rsidRDefault="00EF38BC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Содержание операции</w:t>
            </w:r>
          </w:p>
        </w:tc>
        <w:tc>
          <w:tcPr>
            <w:tcW w:w="7230" w:type="dxa"/>
            <w:gridSpan w:val="2"/>
            <w:vAlign w:val="center"/>
          </w:tcPr>
          <w:p w14:paraId="38E56FA4" w14:textId="77777777" w:rsidR="00EF38BC" w:rsidRPr="00DE5EA2" w:rsidRDefault="00EF38BC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</w:tr>
      <w:tr w:rsidR="00EF38BC" w:rsidRPr="00DE5EA2" w14:paraId="2A0B0CDA" w14:textId="77777777" w:rsidTr="00076E36">
        <w:tc>
          <w:tcPr>
            <w:tcW w:w="817" w:type="dxa"/>
            <w:vMerge/>
            <w:vAlign w:val="center"/>
          </w:tcPr>
          <w:p w14:paraId="62A4E0F3" w14:textId="77777777" w:rsidR="00EF38BC" w:rsidRPr="00DE5EA2" w:rsidRDefault="00EF38BC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14:paraId="6A56C65B" w14:textId="77777777" w:rsidR="00EF38BC" w:rsidRPr="00DE5EA2" w:rsidRDefault="00EF38BC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E048979" w14:textId="77777777" w:rsidR="00EF38BC" w:rsidRPr="00DE5EA2" w:rsidRDefault="00EF38BC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3403" w:type="dxa"/>
            <w:vAlign w:val="center"/>
          </w:tcPr>
          <w:p w14:paraId="2F1A9677" w14:textId="77777777" w:rsidR="00EF38BC" w:rsidRPr="00DE5EA2" w:rsidRDefault="00EF38BC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266CF9" w:rsidRPr="00DE5EA2" w14:paraId="2A61AF97" w14:textId="77777777" w:rsidTr="00076E36">
        <w:trPr>
          <w:trHeight w:val="921"/>
        </w:trPr>
        <w:tc>
          <w:tcPr>
            <w:tcW w:w="817" w:type="dxa"/>
            <w:vMerge w:val="restart"/>
            <w:vAlign w:val="center"/>
          </w:tcPr>
          <w:p w14:paraId="04F8D4D3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Merge w:val="restart"/>
            <w:vAlign w:val="center"/>
          </w:tcPr>
          <w:p w14:paraId="59095D05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Формирование резерва на оплату отпусков за фактически отработанное время:</w:t>
            </w:r>
          </w:p>
          <w:p w14:paraId="574275C3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 xml:space="preserve">- по выплатам </w:t>
            </w:r>
            <w:r>
              <w:rPr>
                <w:rFonts w:ascii="Times New Roman" w:hAnsi="Times New Roman"/>
                <w:sz w:val="24"/>
                <w:szCs w:val="24"/>
              </w:rPr>
              <w:t>работникам</w:t>
            </w:r>
          </w:p>
          <w:p w14:paraId="5B8D0C51" w14:textId="77777777" w:rsidR="00266CF9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- по страховым взносам</w:t>
            </w:r>
          </w:p>
          <w:p w14:paraId="69BA24F1" w14:textId="377D6D3A" w:rsidR="00266CF9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полученным материальным ценностям</w:t>
            </w:r>
          </w:p>
          <w:p w14:paraId="174584E7" w14:textId="27F8CACE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произведенным работам, услугам</w:t>
            </w:r>
          </w:p>
        </w:tc>
        <w:tc>
          <w:tcPr>
            <w:tcW w:w="3827" w:type="dxa"/>
            <w:vAlign w:val="center"/>
          </w:tcPr>
          <w:p w14:paraId="61084C96" w14:textId="77777777" w:rsidR="00266CF9" w:rsidRPr="00DE5EA2" w:rsidRDefault="00266CF9" w:rsidP="00301AB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6EF8F3" w14:textId="77777777" w:rsidR="00266CF9" w:rsidRPr="00DE5EA2" w:rsidRDefault="00266CF9" w:rsidP="00301AB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15C93" w14:textId="7B894DEE" w:rsidR="00266CF9" w:rsidRPr="00DE5EA2" w:rsidRDefault="00266CF9" w:rsidP="000167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40120211</w:t>
            </w:r>
          </w:p>
        </w:tc>
        <w:tc>
          <w:tcPr>
            <w:tcW w:w="3403" w:type="dxa"/>
            <w:vAlign w:val="center"/>
          </w:tcPr>
          <w:p w14:paraId="3AF97687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44EE17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87D09" w14:textId="4B3BB18B" w:rsidR="00266CF9" w:rsidRPr="00DE5EA2" w:rsidRDefault="00266CF9" w:rsidP="000167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40161211</w:t>
            </w:r>
          </w:p>
        </w:tc>
      </w:tr>
      <w:tr w:rsidR="00266CF9" w:rsidRPr="00DE5EA2" w14:paraId="4670E3AF" w14:textId="77777777" w:rsidTr="000167A6">
        <w:trPr>
          <w:trHeight w:val="547"/>
        </w:trPr>
        <w:tc>
          <w:tcPr>
            <w:tcW w:w="817" w:type="dxa"/>
            <w:vMerge/>
            <w:vAlign w:val="center"/>
          </w:tcPr>
          <w:p w14:paraId="3CDCD056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14:paraId="7E31528C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538C6DC" w14:textId="05407C4D" w:rsidR="00266CF9" w:rsidRPr="00DE5EA2" w:rsidRDefault="00266CF9" w:rsidP="000167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40120213</w:t>
            </w:r>
          </w:p>
        </w:tc>
        <w:tc>
          <w:tcPr>
            <w:tcW w:w="3403" w:type="dxa"/>
            <w:vAlign w:val="center"/>
          </w:tcPr>
          <w:p w14:paraId="2E31C575" w14:textId="2A10B444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40161213</w:t>
            </w:r>
          </w:p>
        </w:tc>
      </w:tr>
      <w:tr w:rsidR="00266CF9" w:rsidRPr="00DE5EA2" w14:paraId="7589A9FA" w14:textId="77777777" w:rsidTr="000167A6">
        <w:trPr>
          <w:trHeight w:val="547"/>
        </w:trPr>
        <w:tc>
          <w:tcPr>
            <w:tcW w:w="817" w:type="dxa"/>
            <w:vMerge/>
            <w:vAlign w:val="center"/>
          </w:tcPr>
          <w:p w14:paraId="53AD8978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14:paraId="437F9556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090EECB" w14:textId="05EF3CD2" w:rsidR="00266CF9" w:rsidRPr="00DE5EA2" w:rsidRDefault="00266CF9" w:rsidP="000167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1106ХХ3ХХ</w:t>
            </w:r>
          </w:p>
        </w:tc>
        <w:tc>
          <w:tcPr>
            <w:tcW w:w="3403" w:type="dxa"/>
            <w:vAlign w:val="center"/>
          </w:tcPr>
          <w:p w14:paraId="2325A077" w14:textId="3F903998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1401603ХХ</w:t>
            </w:r>
          </w:p>
        </w:tc>
      </w:tr>
      <w:tr w:rsidR="00266CF9" w:rsidRPr="00DE5EA2" w14:paraId="6622B9B0" w14:textId="77777777" w:rsidTr="000167A6">
        <w:trPr>
          <w:trHeight w:val="547"/>
        </w:trPr>
        <w:tc>
          <w:tcPr>
            <w:tcW w:w="817" w:type="dxa"/>
            <w:vMerge/>
            <w:vAlign w:val="center"/>
          </w:tcPr>
          <w:p w14:paraId="42ED7FA2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14:paraId="2C463F1F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DF056DD" w14:textId="2807D856" w:rsidR="00266CF9" w:rsidRDefault="00266CF9" w:rsidP="000167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1401202ХХ</w:t>
            </w:r>
          </w:p>
        </w:tc>
        <w:tc>
          <w:tcPr>
            <w:tcW w:w="3403" w:type="dxa"/>
            <w:vAlign w:val="center"/>
          </w:tcPr>
          <w:p w14:paraId="28412485" w14:textId="0E4B6494" w:rsidR="00266CF9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1401602ХХ</w:t>
            </w:r>
          </w:p>
        </w:tc>
      </w:tr>
      <w:tr w:rsidR="00266CF9" w:rsidRPr="00DE5EA2" w14:paraId="74BF4901" w14:textId="77777777" w:rsidTr="000167A6">
        <w:trPr>
          <w:trHeight w:val="1250"/>
        </w:trPr>
        <w:tc>
          <w:tcPr>
            <w:tcW w:w="817" w:type="dxa"/>
            <w:vMerge w:val="restart"/>
            <w:vAlign w:val="center"/>
          </w:tcPr>
          <w:p w14:paraId="479DE514" w14:textId="5631676A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Merge w:val="restart"/>
            <w:vAlign w:val="center"/>
          </w:tcPr>
          <w:p w14:paraId="0F6A0D1B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Начисление оплаты отпуска за проработанное время (компенсации за неиспользованный отпуск)</w:t>
            </w:r>
          </w:p>
          <w:p w14:paraId="72857A4E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-за счет резерва</w:t>
            </w:r>
          </w:p>
          <w:p w14:paraId="59314A63" w14:textId="77777777" w:rsidR="00266CF9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- в случае, если сумма резерва меньше суммы начисленных отпускных (на сумму превышения начисленных отпускных над суммой резерва)</w:t>
            </w:r>
          </w:p>
          <w:p w14:paraId="38035445" w14:textId="77777777" w:rsidR="000F1238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 результаты поставки товаров, сдачи работ, оказания услуг</w:t>
            </w:r>
            <w:r w:rsidR="000F1238">
              <w:rPr>
                <w:rFonts w:ascii="Times New Roman" w:hAnsi="Times New Roman"/>
                <w:sz w:val="24"/>
                <w:szCs w:val="24"/>
              </w:rPr>
              <w:t xml:space="preserve"> за счет сформированного резерва</w:t>
            </w:r>
          </w:p>
          <w:p w14:paraId="17520E51" w14:textId="256C3428" w:rsidR="000F1238" w:rsidRPr="00DE5EA2" w:rsidRDefault="000F1238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Списана неиспользованная сумма сформированного ранее резерва (в части непринятого объема поставок, результатов работ, оказания услуг)</w:t>
            </w:r>
          </w:p>
        </w:tc>
        <w:tc>
          <w:tcPr>
            <w:tcW w:w="3827" w:type="dxa"/>
          </w:tcPr>
          <w:p w14:paraId="41FBF25F" w14:textId="77777777" w:rsidR="00266CF9" w:rsidRPr="00DE5EA2" w:rsidRDefault="00266CF9" w:rsidP="00301AB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F54B43" w14:textId="4C9E0831" w:rsidR="00266CF9" w:rsidRPr="00DE5EA2" w:rsidRDefault="00266CF9" w:rsidP="00301AB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40161211</w:t>
            </w:r>
          </w:p>
          <w:p w14:paraId="1575064E" w14:textId="1C957EB3" w:rsidR="00266CF9" w:rsidRPr="00DE5EA2" w:rsidRDefault="00266CF9" w:rsidP="000167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40161213</w:t>
            </w:r>
          </w:p>
        </w:tc>
        <w:tc>
          <w:tcPr>
            <w:tcW w:w="3403" w:type="dxa"/>
          </w:tcPr>
          <w:p w14:paraId="457F9722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5BF76D" w14:textId="4E801830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3021173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F929086" w14:textId="094BF573" w:rsidR="00266CF9" w:rsidRPr="00DE5EA2" w:rsidRDefault="00266CF9" w:rsidP="000167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303ХХ73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CF9" w:rsidRPr="00DE5EA2" w14:paraId="6F706CB7" w14:textId="77777777" w:rsidTr="000F1238">
        <w:trPr>
          <w:trHeight w:val="877"/>
        </w:trPr>
        <w:tc>
          <w:tcPr>
            <w:tcW w:w="817" w:type="dxa"/>
            <w:vMerge/>
            <w:vAlign w:val="center"/>
          </w:tcPr>
          <w:p w14:paraId="0AE22585" w14:textId="77777777" w:rsidR="00266CF9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14:paraId="20C616EA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40B79CE" w14:textId="77777777" w:rsidR="000F1238" w:rsidRDefault="000F1238" w:rsidP="000F123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A2B01A" w14:textId="335A8E22" w:rsidR="000F1238" w:rsidRDefault="000F1238" w:rsidP="000F123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40120213</w:t>
            </w:r>
          </w:p>
          <w:p w14:paraId="6A69E04E" w14:textId="37542D4C" w:rsidR="000F1238" w:rsidRPr="00DE5EA2" w:rsidRDefault="000F1238" w:rsidP="000F123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40120213</w:t>
            </w:r>
          </w:p>
        </w:tc>
        <w:tc>
          <w:tcPr>
            <w:tcW w:w="3403" w:type="dxa"/>
            <w:vAlign w:val="bottom"/>
          </w:tcPr>
          <w:p w14:paraId="3DE3635C" w14:textId="11314815" w:rsidR="00266CF9" w:rsidRPr="00DE5EA2" w:rsidRDefault="00266CF9" w:rsidP="000167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A2">
              <w:rPr>
                <w:rFonts w:ascii="Times New Roman" w:hAnsi="Times New Roman"/>
                <w:sz w:val="24"/>
                <w:szCs w:val="24"/>
              </w:rPr>
              <w:t>13021173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ACEED3E" w14:textId="65916714" w:rsidR="00266CF9" w:rsidRPr="00DE5EA2" w:rsidRDefault="00266CF9" w:rsidP="000167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EA2">
              <w:rPr>
                <w:rFonts w:ascii="Times New Roman" w:hAnsi="Times New Roman"/>
                <w:sz w:val="24"/>
                <w:szCs w:val="24"/>
              </w:rPr>
              <w:t>303ХХ73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CF9" w:rsidRPr="00DE5EA2" w14:paraId="6ADC5DDD" w14:textId="77777777" w:rsidTr="000F1238">
        <w:trPr>
          <w:trHeight w:val="877"/>
        </w:trPr>
        <w:tc>
          <w:tcPr>
            <w:tcW w:w="817" w:type="dxa"/>
            <w:vMerge/>
            <w:vAlign w:val="center"/>
          </w:tcPr>
          <w:p w14:paraId="5228E653" w14:textId="77777777" w:rsidR="00266CF9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14:paraId="0618CFFA" w14:textId="77777777" w:rsidR="00266CF9" w:rsidRPr="00DE5EA2" w:rsidRDefault="00266CF9" w:rsidP="00301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0CB75B" w14:textId="77777777" w:rsidR="000F1238" w:rsidRDefault="000F1238" w:rsidP="000167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140160ХХХ</w:t>
            </w:r>
          </w:p>
          <w:p w14:paraId="5F24F18C" w14:textId="77777777" w:rsidR="000F1238" w:rsidRDefault="000F1238" w:rsidP="000167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F6ACA" w14:textId="786556D7" w:rsidR="000F1238" w:rsidRPr="00DE5EA2" w:rsidRDefault="000F1238" w:rsidP="000167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140160ХХХ</w:t>
            </w:r>
          </w:p>
        </w:tc>
        <w:tc>
          <w:tcPr>
            <w:tcW w:w="3403" w:type="dxa"/>
          </w:tcPr>
          <w:p w14:paraId="33743FFB" w14:textId="77777777" w:rsidR="00266CF9" w:rsidRDefault="000F1238" w:rsidP="000167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1302ХХ73Х</w:t>
            </w:r>
          </w:p>
          <w:p w14:paraId="32AD572C" w14:textId="77777777" w:rsidR="000F1238" w:rsidRDefault="000F1238" w:rsidP="000167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E06700" w14:textId="2BE2D11F" w:rsidR="000F1238" w:rsidRPr="00DE5EA2" w:rsidRDefault="000F1238" w:rsidP="000167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1401202ХХ</w:t>
            </w:r>
          </w:p>
        </w:tc>
      </w:tr>
    </w:tbl>
    <w:p w14:paraId="35A41797" w14:textId="77777777" w:rsidR="000167A6" w:rsidRDefault="000167A6" w:rsidP="00076E3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867CEC9" w14:textId="77777777" w:rsidR="000167A6" w:rsidRDefault="000167A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77C9BA76" w14:textId="7329DF48" w:rsidR="00076E36" w:rsidRDefault="00076E36" w:rsidP="00076E3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В части принятых обязательств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3"/>
        <w:gridCol w:w="2265"/>
        <w:gridCol w:w="2410"/>
        <w:gridCol w:w="2693"/>
        <w:gridCol w:w="2128"/>
        <w:gridCol w:w="2128"/>
        <w:gridCol w:w="12"/>
      </w:tblGrid>
      <w:tr w:rsidR="00076E36" w14:paraId="4681A86E" w14:textId="77777777" w:rsidTr="00526F5C">
        <w:trPr>
          <w:trHeight w:val="426"/>
        </w:trPr>
        <w:tc>
          <w:tcPr>
            <w:tcW w:w="817" w:type="dxa"/>
            <w:vMerge w:val="restart"/>
          </w:tcPr>
          <w:p w14:paraId="15866FA2" w14:textId="028A5A79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63" w:type="dxa"/>
            <w:vMerge w:val="restart"/>
          </w:tcPr>
          <w:p w14:paraId="61754EAD" w14:textId="63E92339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 обязательства</w:t>
            </w:r>
          </w:p>
        </w:tc>
        <w:tc>
          <w:tcPr>
            <w:tcW w:w="2265" w:type="dxa"/>
            <w:vMerge w:val="restart"/>
          </w:tcPr>
          <w:p w14:paraId="6C581EDB" w14:textId="141AA794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Документ-основание</w:t>
            </w:r>
          </w:p>
        </w:tc>
        <w:tc>
          <w:tcPr>
            <w:tcW w:w="2410" w:type="dxa"/>
            <w:vMerge w:val="restart"/>
          </w:tcPr>
          <w:p w14:paraId="0BA4B9DD" w14:textId="0339C704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Момент отражения в учете</w:t>
            </w:r>
          </w:p>
        </w:tc>
        <w:tc>
          <w:tcPr>
            <w:tcW w:w="2693" w:type="dxa"/>
            <w:vMerge w:val="restart"/>
          </w:tcPr>
          <w:p w14:paraId="497B01F7" w14:textId="1847446B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обязательства</w:t>
            </w:r>
          </w:p>
        </w:tc>
        <w:tc>
          <w:tcPr>
            <w:tcW w:w="4268" w:type="dxa"/>
            <w:gridSpan w:val="3"/>
          </w:tcPr>
          <w:p w14:paraId="244D59FB" w14:textId="1C114971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Бухгалтерские записи</w:t>
            </w:r>
          </w:p>
        </w:tc>
      </w:tr>
      <w:tr w:rsidR="00076E36" w14:paraId="5CC42173" w14:textId="77777777" w:rsidTr="00526F5C">
        <w:trPr>
          <w:gridAfter w:val="1"/>
          <w:wAfter w:w="12" w:type="dxa"/>
          <w:trHeight w:val="436"/>
        </w:trPr>
        <w:tc>
          <w:tcPr>
            <w:tcW w:w="817" w:type="dxa"/>
            <w:vMerge/>
          </w:tcPr>
          <w:p w14:paraId="460AE8CD" w14:textId="77777777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14:paraId="2B91E8A0" w14:textId="77777777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7960809" w14:textId="77777777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1BF06CD" w14:textId="77777777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874D5E4" w14:textId="77777777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453E6990" w14:textId="5C6D7FF3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2128" w:type="dxa"/>
          </w:tcPr>
          <w:p w14:paraId="06649C12" w14:textId="143E0149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</w:p>
        </w:tc>
      </w:tr>
      <w:tr w:rsidR="000167A6" w14:paraId="54EDE886" w14:textId="77777777" w:rsidTr="000167A6">
        <w:trPr>
          <w:gridAfter w:val="1"/>
          <w:wAfter w:w="12" w:type="dxa"/>
        </w:trPr>
        <w:tc>
          <w:tcPr>
            <w:tcW w:w="817" w:type="dxa"/>
          </w:tcPr>
          <w:p w14:paraId="77277147" w14:textId="29C41933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3F31B185" w14:textId="63077E89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7074178D" w14:textId="318E32C6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0B86D11" w14:textId="373EAA13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E3CEDEF" w14:textId="7A0F7410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14:paraId="7280AB9C" w14:textId="3DE48FDC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14:paraId="4D446BF1" w14:textId="046FC31E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0167A6" w14:paraId="31183464" w14:textId="77777777" w:rsidTr="000167A6">
        <w:trPr>
          <w:gridAfter w:val="1"/>
          <w:wAfter w:w="12" w:type="dxa"/>
        </w:trPr>
        <w:tc>
          <w:tcPr>
            <w:tcW w:w="817" w:type="dxa"/>
          </w:tcPr>
          <w:p w14:paraId="45FE2CB4" w14:textId="670BD914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263" w:type="dxa"/>
          </w:tcPr>
          <w:p w14:paraId="4305CEEE" w14:textId="5F38CD83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Принятие обязательства на сумму созданного резерва</w:t>
            </w:r>
          </w:p>
        </w:tc>
        <w:tc>
          <w:tcPr>
            <w:tcW w:w="2265" w:type="dxa"/>
          </w:tcPr>
          <w:p w14:paraId="50E05C9F" w14:textId="0F04E5A6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Справка ф. 0504833 с приложением расчетов</w:t>
            </w:r>
          </w:p>
        </w:tc>
        <w:tc>
          <w:tcPr>
            <w:tcW w:w="2410" w:type="dxa"/>
          </w:tcPr>
          <w:p w14:paraId="4A4E29A3" w14:textId="568523E5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расчета резерва согласно положениям Учетной политики</w:t>
            </w:r>
          </w:p>
        </w:tc>
        <w:tc>
          <w:tcPr>
            <w:tcW w:w="2693" w:type="dxa"/>
          </w:tcPr>
          <w:p w14:paraId="33A01EF1" w14:textId="21ACDC65" w:rsidR="00076E36" w:rsidRDefault="00076E3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оценочного значения п методу, предусмотренному в Учетной политике</w:t>
            </w:r>
          </w:p>
        </w:tc>
        <w:tc>
          <w:tcPr>
            <w:tcW w:w="2128" w:type="dxa"/>
          </w:tcPr>
          <w:p w14:paraId="20CFDD64" w14:textId="12288263" w:rsidR="00076E36" w:rsidRDefault="000167A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КРБ.1.501.93.ХХХ</w:t>
            </w:r>
          </w:p>
        </w:tc>
        <w:tc>
          <w:tcPr>
            <w:tcW w:w="2128" w:type="dxa"/>
          </w:tcPr>
          <w:p w14:paraId="616D1700" w14:textId="331B8EDA" w:rsidR="00076E36" w:rsidRDefault="000167A6" w:rsidP="00076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КРБ.1.502.99.ХХХ</w:t>
            </w:r>
          </w:p>
        </w:tc>
      </w:tr>
      <w:tr w:rsidR="000167A6" w14:paraId="106B04DB" w14:textId="77777777" w:rsidTr="00526F5C">
        <w:trPr>
          <w:gridAfter w:val="1"/>
          <w:wAfter w:w="12" w:type="dxa"/>
          <w:trHeight w:val="1856"/>
        </w:trPr>
        <w:tc>
          <w:tcPr>
            <w:tcW w:w="817" w:type="dxa"/>
          </w:tcPr>
          <w:p w14:paraId="089EAE8F" w14:textId="6B0929B1" w:rsidR="000167A6" w:rsidRDefault="000167A6" w:rsidP="000167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3263" w:type="dxa"/>
          </w:tcPr>
          <w:p w14:paraId="4A9B4957" w14:textId="0F7C78F4" w:rsidR="000167A6" w:rsidRDefault="000167A6" w:rsidP="000167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Уменьшение размера созданного резерва</w:t>
            </w:r>
          </w:p>
        </w:tc>
        <w:tc>
          <w:tcPr>
            <w:tcW w:w="2265" w:type="dxa"/>
          </w:tcPr>
          <w:p w14:paraId="42595A95" w14:textId="2EE24125" w:rsidR="000167A6" w:rsidRDefault="000167A6" w:rsidP="000167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справка ф. 0504833 с приложением расчетов</w:t>
            </w:r>
          </w:p>
        </w:tc>
        <w:tc>
          <w:tcPr>
            <w:tcW w:w="2410" w:type="dxa"/>
          </w:tcPr>
          <w:p w14:paraId="78F4E702" w14:textId="3F6A5EDC" w:rsidR="000167A6" w:rsidRDefault="000167A6" w:rsidP="000167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  <w:r w:rsidR="002629D6">
              <w:rPr>
                <w:rFonts w:ascii="Times New Roman" w:hAnsi="Times New Roman"/>
                <w:bCs/>
                <w:sz w:val="24"/>
                <w:szCs w:val="24"/>
              </w:rPr>
              <w:t xml:space="preserve"> свершения хозяйственной операции</w:t>
            </w:r>
          </w:p>
        </w:tc>
        <w:tc>
          <w:tcPr>
            <w:tcW w:w="2693" w:type="dxa"/>
          </w:tcPr>
          <w:p w14:paraId="664F329B" w14:textId="05322489" w:rsidR="000167A6" w:rsidRDefault="000167A6" w:rsidP="000167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Сумма, на которую будет уменьшен резерв, отражается способом «Красное сторно»</w:t>
            </w:r>
          </w:p>
        </w:tc>
        <w:tc>
          <w:tcPr>
            <w:tcW w:w="2128" w:type="dxa"/>
          </w:tcPr>
          <w:p w14:paraId="07556052" w14:textId="5E990475" w:rsidR="000167A6" w:rsidRDefault="000167A6" w:rsidP="000167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КРБ.1.501.93.ХХХ</w:t>
            </w:r>
          </w:p>
        </w:tc>
        <w:tc>
          <w:tcPr>
            <w:tcW w:w="2128" w:type="dxa"/>
          </w:tcPr>
          <w:p w14:paraId="715CCE80" w14:textId="2F4CD4FF" w:rsidR="000167A6" w:rsidRDefault="000167A6" w:rsidP="000167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КРБ.1.502.99.ХХХ</w:t>
            </w:r>
          </w:p>
        </w:tc>
      </w:tr>
      <w:tr w:rsidR="002629D6" w14:paraId="51C2F70D" w14:textId="77777777" w:rsidTr="008B4950">
        <w:trPr>
          <w:gridAfter w:val="1"/>
          <w:wAfter w:w="12" w:type="dxa"/>
          <w:trHeight w:val="3312"/>
        </w:trPr>
        <w:tc>
          <w:tcPr>
            <w:tcW w:w="817" w:type="dxa"/>
          </w:tcPr>
          <w:p w14:paraId="006AFA40" w14:textId="594C87AB" w:rsidR="002629D6" w:rsidRDefault="002629D6" w:rsidP="00526F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263" w:type="dxa"/>
          </w:tcPr>
          <w:p w14:paraId="230F233F" w14:textId="21E8E7BB" w:rsidR="002629D6" w:rsidRDefault="002629D6" w:rsidP="00526F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Постановка на учет денежного обязательства текущего года по результатам приемки материальных ценностей, работ, услуг</w:t>
            </w:r>
          </w:p>
        </w:tc>
        <w:tc>
          <w:tcPr>
            <w:tcW w:w="2265" w:type="dxa"/>
          </w:tcPr>
          <w:p w14:paraId="16C7F1FF" w14:textId="25D7F77F" w:rsidR="002629D6" w:rsidRDefault="002629D6" w:rsidP="00526F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Документы, подтверждающие возникновение обязательства, документ о приемке, справка ф. 0504833</w:t>
            </w:r>
          </w:p>
        </w:tc>
        <w:tc>
          <w:tcPr>
            <w:tcW w:w="2410" w:type="dxa"/>
          </w:tcPr>
          <w:p w14:paraId="0F9B74E8" w14:textId="1EE8DB1E" w:rsidR="002629D6" w:rsidRDefault="002629D6" w:rsidP="00526F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момент образования кредиторской задолженности, дата приемки по полученному первичному документу</w:t>
            </w:r>
          </w:p>
        </w:tc>
        <w:tc>
          <w:tcPr>
            <w:tcW w:w="2693" w:type="dxa"/>
          </w:tcPr>
          <w:p w14:paraId="59E09905" w14:textId="53B0E164" w:rsidR="002629D6" w:rsidRPr="00526F5C" w:rsidRDefault="002629D6" w:rsidP="00526F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начисленных обязательств</w:t>
            </w:r>
          </w:p>
        </w:tc>
        <w:tc>
          <w:tcPr>
            <w:tcW w:w="2128" w:type="dxa"/>
          </w:tcPr>
          <w:p w14:paraId="185B47DF" w14:textId="53996755" w:rsidR="002629D6" w:rsidRDefault="002629D6" w:rsidP="00526F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КРБ.1.502</w:t>
            </w:r>
            <w:r w:rsidR="00BB227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BB227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ХХХ</w:t>
            </w:r>
          </w:p>
        </w:tc>
        <w:tc>
          <w:tcPr>
            <w:tcW w:w="2128" w:type="dxa"/>
          </w:tcPr>
          <w:p w14:paraId="00E0F927" w14:textId="1C34B4E6" w:rsidR="002629D6" w:rsidRDefault="002629D6" w:rsidP="00526F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КРБ.1.502.</w:t>
            </w:r>
            <w:r w:rsidR="00BB227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.ХХХ</w:t>
            </w:r>
          </w:p>
        </w:tc>
      </w:tr>
    </w:tbl>
    <w:p w14:paraId="0576251B" w14:textId="77777777" w:rsidR="00076E36" w:rsidRDefault="00076E36" w:rsidP="00076E3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B9B1767" w14:textId="551BF988" w:rsidR="00EF38BC" w:rsidRPr="00CD1B5D" w:rsidRDefault="00EF38BC" w:rsidP="00526F5C">
      <w:pPr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b/>
          <w:bCs/>
          <w:sz w:val="26"/>
          <w:szCs w:val="26"/>
        </w:rPr>
        <w:t>3. Определение оценочного значения при формировании резерва на оплату отпусков за фактически отработанное время</w:t>
      </w:r>
    </w:p>
    <w:p w14:paraId="3F578E1A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Оценочное обязательство в виде резерва на оплату отпусков за фактически отработанное время определяется еже</w:t>
      </w:r>
      <w:r w:rsidR="00716B3E" w:rsidRPr="00CD1B5D">
        <w:rPr>
          <w:rFonts w:ascii="Times New Roman" w:hAnsi="Times New Roman"/>
          <w:sz w:val="26"/>
          <w:szCs w:val="26"/>
        </w:rPr>
        <w:t>квартально</w:t>
      </w:r>
      <w:r w:rsidRPr="00CD1B5D">
        <w:rPr>
          <w:rFonts w:ascii="Times New Roman" w:hAnsi="Times New Roman"/>
          <w:sz w:val="26"/>
          <w:szCs w:val="26"/>
        </w:rPr>
        <w:t xml:space="preserve"> на последний день </w:t>
      </w:r>
      <w:r w:rsidR="00716B3E" w:rsidRPr="00CD1B5D">
        <w:rPr>
          <w:rFonts w:ascii="Times New Roman" w:hAnsi="Times New Roman"/>
          <w:sz w:val="26"/>
          <w:szCs w:val="26"/>
        </w:rPr>
        <w:t>месяца, предшествующего наступлению следующего квартала</w:t>
      </w:r>
      <w:r w:rsidRPr="00CD1B5D">
        <w:rPr>
          <w:rFonts w:ascii="Times New Roman" w:hAnsi="Times New Roman"/>
          <w:sz w:val="26"/>
          <w:szCs w:val="26"/>
        </w:rPr>
        <w:t xml:space="preserve">, исходя из данных количества дней неиспользованного отпуска по всем сотрудникам на указанную дату, предоставленных </w:t>
      </w:r>
      <w:r w:rsidR="000F06D1" w:rsidRPr="009D030B">
        <w:rPr>
          <w:rFonts w:ascii="Times New Roman" w:hAnsi="Times New Roman"/>
          <w:sz w:val="26"/>
          <w:szCs w:val="26"/>
        </w:rPr>
        <w:t>специалистом по кадрам</w:t>
      </w:r>
      <w:r w:rsidRPr="00CD1B5D">
        <w:rPr>
          <w:rFonts w:ascii="Times New Roman" w:hAnsi="Times New Roman"/>
          <w:sz w:val="26"/>
          <w:szCs w:val="26"/>
        </w:rPr>
        <w:t>.</w:t>
      </w:r>
    </w:p>
    <w:p w14:paraId="1CF35968" w14:textId="2D0C9A0C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lastRenderedPageBreak/>
        <w:t>Резерв рассчитывается, как сумма оплаты отпусков работникам за фактически отработанное время, на дату расчета, и сумма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</w:t>
      </w:r>
    </w:p>
    <w:p w14:paraId="3EB9BC14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Расчет расходов на оплату предстоящих отпусков определяется персонифицировано по каждому сотруднику:</w:t>
      </w:r>
    </w:p>
    <w:p w14:paraId="7671282C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Резерв отпусков = К*ЗП, где</w:t>
      </w:r>
    </w:p>
    <w:p w14:paraId="6E1F292D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К – количество не использованных сотрудником дней отпуска за период с начала работы на дату расчета (конец года),</w:t>
      </w:r>
    </w:p>
    <w:p w14:paraId="3C7B93AA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ЗП – среднедневной заработок сотрудника, исчисленный по правилам расчета среднего заработка для оплаты отпусков на дату расчета резерва</w:t>
      </w:r>
    </w:p>
    <w:p w14:paraId="6BDCC562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Сумма страховых взносов при формировании резерва рассчитывается по каждому индивидуально:</w:t>
      </w:r>
    </w:p>
    <w:p w14:paraId="0F8D3EA2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Резерв страховых взносов = К*ЗП*С, где</w:t>
      </w:r>
    </w:p>
    <w:p w14:paraId="38A89469" w14:textId="77777777" w:rsidR="00EF38BC" w:rsidRPr="00CD1B5D" w:rsidRDefault="00EF38BC" w:rsidP="00EF38B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С – ставка страховых взносов.</w:t>
      </w:r>
    </w:p>
    <w:p w14:paraId="36524587" w14:textId="77777777" w:rsidR="00CD1B5D" w:rsidRDefault="00EF38BC" w:rsidP="00CD1B5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D1B5D">
        <w:rPr>
          <w:rFonts w:ascii="Times New Roman" w:hAnsi="Times New Roman"/>
          <w:sz w:val="26"/>
          <w:szCs w:val="26"/>
        </w:rPr>
        <w:t>Сумма страховых взносов рассчитывается с учетом предельной величины базы для начисления страховых  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 на основании информации за предшествующий период, а также применяемого к нему повышающего коэффициента.</w:t>
      </w:r>
    </w:p>
    <w:p w14:paraId="2BB09016" w14:textId="68BC3C71" w:rsidR="00BB227A" w:rsidRPr="00CD1B5D" w:rsidRDefault="00BB227A" w:rsidP="00CD1B5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Резерв на оплату оказанных услуг, произведенных работ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B227A">
        <w:rPr>
          <w:rFonts w:ascii="Times New Roman" w:hAnsi="Times New Roman"/>
          <w:sz w:val="26"/>
          <w:szCs w:val="26"/>
        </w:rPr>
        <w:t xml:space="preserve">не имеющих </w:t>
      </w:r>
      <w:r w:rsidRPr="00BB22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 условиями контракта расчетно-документальную обоснованную оценку</w:t>
      </w:r>
      <w:r w:rsidRPr="00BB22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и по начислению которых существует на </w:t>
      </w:r>
      <w:r w:rsidR="001256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отчетную</w:t>
      </w:r>
      <w:r w:rsidRPr="00BB22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дату неопределенность по их </w:t>
      </w:r>
      <w:r w:rsidRPr="00BB22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размеру в виду отсутствия первичных учетных документов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(например, на услуги связи, коммунальные услуги и пр.)</w:t>
      </w:r>
      <w:r w:rsidRPr="00BB22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начисляется в соответствии с расчетным количеством отпуска коммунальных услуг или в </w:t>
      </w:r>
      <w:r w:rsidR="001256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размере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средней месячной </w:t>
      </w:r>
      <w:r w:rsidR="001256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величины оказываемых услуг </w:t>
      </w:r>
      <w:r w:rsidR="001256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 условиями государственн</w:t>
      </w:r>
      <w:r w:rsidR="001256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ых</w:t>
      </w:r>
      <w:r w:rsidR="001256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контракт</w:t>
      </w:r>
      <w:r w:rsidR="001256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ов.</w:t>
      </w:r>
    </w:p>
    <w:sectPr w:rsidR="00BB227A" w:rsidRPr="00CD1B5D" w:rsidSect="00526F5C">
      <w:pgSz w:w="16838" w:h="11905" w:orient="landscape"/>
      <w:pgMar w:top="567" w:right="540" w:bottom="567" w:left="5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40D"/>
    <w:multiLevelType w:val="hybridMultilevel"/>
    <w:tmpl w:val="58BA2FDE"/>
    <w:lvl w:ilvl="0" w:tplc="9100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7065"/>
    <w:multiLevelType w:val="hybridMultilevel"/>
    <w:tmpl w:val="1B04C512"/>
    <w:lvl w:ilvl="0" w:tplc="DE4CB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F30B2"/>
    <w:multiLevelType w:val="hybridMultilevel"/>
    <w:tmpl w:val="B3C62C2C"/>
    <w:lvl w:ilvl="0" w:tplc="C63ED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63930"/>
    <w:multiLevelType w:val="hybridMultilevel"/>
    <w:tmpl w:val="7AE40D30"/>
    <w:lvl w:ilvl="0" w:tplc="826A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56F64"/>
    <w:multiLevelType w:val="multilevel"/>
    <w:tmpl w:val="2BD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930026">
    <w:abstractNumId w:val="1"/>
  </w:num>
  <w:num w:numId="2" w16cid:durableId="270085945">
    <w:abstractNumId w:val="0"/>
  </w:num>
  <w:num w:numId="3" w16cid:durableId="335886688">
    <w:abstractNumId w:val="2"/>
  </w:num>
  <w:num w:numId="4" w16cid:durableId="435831833">
    <w:abstractNumId w:val="3"/>
  </w:num>
  <w:num w:numId="5" w16cid:durableId="94904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8BC"/>
    <w:rsid w:val="000167A6"/>
    <w:rsid w:val="00076E36"/>
    <w:rsid w:val="000D6EC8"/>
    <w:rsid w:val="000F06D1"/>
    <w:rsid w:val="000F1238"/>
    <w:rsid w:val="00125656"/>
    <w:rsid w:val="001C0739"/>
    <w:rsid w:val="002629D6"/>
    <w:rsid w:val="00266CF9"/>
    <w:rsid w:val="00526F5C"/>
    <w:rsid w:val="005E5458"/>
    <w:rsid w:val="006A3983"/>
    <w:rsid w:val="006B3D12"/>
    <w:rsid w:val="00716B3E"/>
    <w:rsid w:val="007A72A0"/>
    <w:rsid w:val="009D030B"/>
    <w:rsid w:val="00A03AF3"/>
    <w:rsid w:val="00B135EF"/>
    <w:rsid w:val="00BB227A"/>
    <w:rsid w:val="00CD1B5D"/>
    <w:rsid w:val="00CF4469"/>
    <w:rsid w:val="00D4066D"/>
    <w:rsid w:val="00EA1130"/>
    <w:rsid w:val="00EF38BC"/>
    <w:rsid w:val="00F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5395"/>
  <w15:docId w15:val="{4B5F48CC-3B53-49CA-ACFA-EBDF31A2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7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Gosurburo Karelia</cp:lastModifiedBy>
  <cp:revision>12</cp:revision>
  <cp:lastPrinted>2022-06-10T12:19:00Z</cp:lastPrinted>
  <dcterms:created xsi:type="dcterms:W3CDTF">2019-03-27T17:02:00Z</dcterms:created>
  <dcterms:modified xsi:type="dcterms:W3CDTF">2024-01-13T10:17:00Z</dcterms:modified>
</cp:coreProperties>
</file>